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WPR.2023.94 vom 12. Oktober 2023</w:t>
      </w:r>
    </w:p>
    <w:p>
      <w:r>
        <w:t>AG Verwaltungsgericht, 2023-10-12, DE</w:t>
      </w:r>
    </w:p>
    <w:p>
      <w:r>
        <w:rPr>
          <w:b/>
        </w:rPr>
        <w:t xml:space="preserve">Quelle: </w:t>
      </w:r>
      <w:r>
        <w:t>https://mcp.opencaselaw.ch/entscheid/ag_verwaltungsgericht_WPR.2023.94</w:t>
      </w:r>
    </w:p>
    <w:p>
      <w:r>
        <w:t>FR: AG_VERWALTUNGSGERICHT WPR.2023.94 du 12 octobre 2023</w:t>
      </w:r>
    </w:p>
    <w:p>
      <w:r>
        <w:t>IT: AG_VERWALTUNGSGERICHT WPR.2023.94 del 12 ottobre 2023</w:t>
      </w:r>
    </w:p>
    <w:p>
      <w:pPr>
        <w:pStyle w:val="Heading2"/>
      </w:pPr>
      <w:r>
        <w:t>Erwägungen</w:t>
      </w:r>
    </w:p>
    <w:p>
      <w:r>
        <w:rPr>
          <w:b/>
        </w:rPr>
        <w:t>E. 2</w:t>
      </w:r>
    </w:p>
    <w:p>
      <w:r>
        <w:t>Die Haft begann am 10. Oktober 2023, 14.00 Uhr. Sie wird in Anwendung von Art. 76 AIG für drei Monate bis zum 9. Januar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13. Juli 2022 lehnte das SEM das Asylgesuch des Gesuchsgegners ab und wies ihn aus der Schweiz weg (MI-act. 13 ff.) Die dagegen erhobene Beschwerde beim Bundesverwaltungsgericht wurde mit Urteil vom 14. August 2023 abgewiesen, womit die Verfügung vom 13. Juli 2022 in Rechtskraft erwuchs (MI-act. 24 ff.). Es liegt damit ein rechtsgenüglicher Wegweisungsentscheid vor.</w:t>
      </w:r>
    </w:p>
    <w:p>
      <w:r>
        <w:rPr>
          <w:b/>
        </w:rPr>
        <w:t>E. 2.3</w:t>
      </w:r>
    </w:p>
    <w:p>
      <w:r>
        <w:t>Gemäss Art. 80 Abs. 6 lit. a AIG ist die Haft zu beenden, wenn sich erweist, dass der Vollzug der Wegweisung aus rechtlichen oder tatsächlichen Gründen undurchführbar ist. Dem Gesuchsgegner ist gemäss den grundsätzlich auch für das haftrichterliche Verfahren massgeblichen Feststellungen im Asylverfahren</w:t>
      </w:r>
    </w:p>
    <w:p>
      <w:r>
        <w:t>- 5 - eine Rückkehr in die Türkei zumutbar (vgl. BGE 128 II 193, Erw. 2.2.2). Er ist hierbei nicht gezwungen, in seine Heimatprovinz B._____ zurückzukehren, wo Vollzugshindernisse vorliegen könnten, sondern es bestehen innertürkische Rückkehralternativen, z.B. in C._____ oder in D._____, wo er bereits studiert hatte. Die Identität des Gesuchsgegners steht sodann fest (Protokoll S. 4, act. 23) und den Akten kann entnommen werden, dass beim SEM eine Kopie der türkischen Identitätskarte und somit ein gültiges heimatliches Reisedokument vorliegt (MI-act. 15). Überdies bestehen regelmässig Flugverbindungen in die Heimat des Gesuchsgegners (act. 2). Ein Auftrag zur Buchung eines DEPU-Flugs ist bereits beim SEM hängig und es kann bereits in den nächsten zwei Wochen mit einem Rückflug gerechnet werden (Protokoll S. 4, act. 23). Es sind damit keine Anzeichen vorhanden, die an der Ausschaffungsmöglichkeit in tatsächlicher oder rechtlicher Hinsicht Zweifel aufkommen lassen würden.</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5, act. 24). Der Gesuchsgegner liess folgende Anträge stellen (Protokoll S. 5, act. 24): 1. Die mit Verfügung des Amts für Migration und Integration vom 10. Oktober 2023 angeordnete Haft sei nicht zu bestätigen. Der Gesuchsgegner sei mit sofortiger Wirkung aus der Haft zu entlassen. 2. Der Sprechende sei als amtlicher Rechtsvertreter zu bestätigen und nach Abschluss des Verfahrens WPR.2023.94 angemessen aus der Staatskasse zu honorieren.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w:t>
      </w:r>
    </w:p>
    <w:p>
      <w:r>
        <w:t>- 4 - 2. Im vorliegenden Fall erschien der Gesuchsgegner am 10. Oktober, 14.00 Uhr, einer Vorladung folgend beim MIKA und wurde ab diesem Zeitpunkt migrationsrechtlich festgehalten. Die mündliche Verhandlung begann am 12. Oktober 2023, 14.10 Uhr; das Urteil wurde um 15.35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w:t>
      </w:r>
    </w:p>
    <w:p>
      <w:r>
        <w:t>- 6 -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gegen den ein rechtskräftiger Wegweisungsentscheid vorliegt (MI-act. 12 ff., 24 ff.), hätte die Schweiz mit der erneut angesetzten Ausreisefrist bis am 14. September 2023 verlassen müssen (MI-act. 41). Anlässlich diverser Ausreisegespräche, des rechtlichen Gehörs betreffend die Anordnung einer Ausschaffungshaft sowie der heutigen Verhandlung äusserte sich der Gesuchsgegner dahingehend, dass er nicht bereit sei, die Schweiz freiwillig in Richtung der Türkei zu verlassen (MI-act. 47 ff., 63 ff., Protokoll S. 3, act. 22). In der konstanten Weigerung, der Ausreisepflicht nachzukommen, ist ein klares Anzeichen dafür zu erkennen, dass sich der Gesuchsgegner der Ausschaffung entziehen will. Entgegen der Auffassung des Vertreters des Gesuchsgegners ändert hieran auch nichts, dass der Gesuchsgegner in der Vergangenheit (noch) nicht untergetaucht und seine Weigerung zu einer Rückkehr in die Türkei bis anhin vornehmlich passiver Natur gewesen ist. Vielmehr ist davon auszugehen, dass der Gesuchsgegner nach seiner Haftentlassung oder einer weiteren Konkretisierung des Wegweisungsvollzugs untertauchen wird. Es ist zwar nicht von der Hand zu weisen, dass sich der Gesuchsgegner den Behörden gegenüber bis anhin kooperativ verhalten hat, aufgrund der Weigerung, die Schweiz zu verlassen, ist jedoch davon auszugehen, dass er sich allenfalls bis zum Vorliegen eines Flugtickets in der zugewiesenen Unterkunft aufhalten und untertauchen würde, sobald ihm die Flugdaten bekannt wären. Dies umso mehr, da en Flug in den nächsten zwei Wochen absehbar ist (Protokoll S. 4, act. 23). Insgesamt setzte der Gesuchsgegner damit klare Anzeichen für eine Untertauchensgefahr, und es ist auch nicht davon auszugehen, dass er nach einer Entlassung aus der Ausschaffungshaft die Schweiz selbständig in Richtung der Türkei verlassen würde. Damit ist der Haftgrund von Art. 76 Abs. 1 lit. b Ziff. 3 und 4 AIG erfüllt.</w:t>
      </w:r>
    </w:p>
    <w:p>
      <w:r>
        <w:rPr>
          <w:b/>
        </w:rPr>
        <w:t>E. 4</w:t>
      </w:r>
    </w:p>
    <w:p>
      <w:r>
        <w:t>Bezüglich der Haftbedingungen liegen keine Beanstandungen vor, die geeignet wären, die Haft als unverhältnismässig erscheinen zu lassen (Protokoll S. 5, act. 24). Insbesondere ist auch mit einer zeitnahen Überführung in das Zentrum für ausländerrechtliche Administrativhaft</w:t>
      </w:r>
    </w:p>
    <w:p>
      <w:r>
        <w:t>- 7 - Zürich zu rechnen, welches in besonderem Masse auf die Bedürfnisse der ausländerrechtlichen Administrativhaft zugeschnitten ist.</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Dass die Ausschaffungshaft geeignet ist, den Vollzug der Wegweisung sicherzustellen, liegt auf der Hand und bedarf keiner weiteren Ausführungen. Gleiches gilt mit Blick auf die Notwendigkeit der Anordnung einer Ausschaffungshaft. Eine mildere Massnahme zur Sicherstellung des Vollzugs der Wegweisung ist – entgegen der Auffassung des Rechtsvertreters – vorliegend nicht ersichtlich. Insbesondere würde die Anordnung einer Meldepflicht bzw. einer Eingrenzung nicht ausreichen, da dadurch nicht sichergestellt werden kann, dass der Gesuchsgegner tatsächlich ausreisen wird. Dies gilt umso mehr, als der er sich mehrfach weigerte, die Schweiz zu verlassen und mit seinem Verhalten keinerlei Gewähr für eine ordnungsgemässe Ausreise in sein Heimatland bietet. Bezüglich der familiären Verhältnisse ergeben sich keine Anhaltspunkte, welche gegen eine Haftanordnung sprechen würden. Eine bevorstehende Heirat lässt eine Haftanordnung grundsätzlich nicht hinfällig werden und es ist in aller Regel zumutbar, den Ausgang des Bewilligungsverfahrens im Ausland abzuwarten und zu gegebener Zeit bei der schweizerischen Auslandsvertretung im Heimaltland um eine Einreisebewilligung zwecks Heirat zu ersuchen. Der Wegweisungsvollzug erscheint höchstens dann unverhältnismässig, wenn sämtliche für den Eheschluss erforderlichen Papiere vorliegen, ein konkreter Heiratstermin feststeht und binnen kurzem</w:t>
      </w:r>
    </w:p>
    <w:p>
      <w:r>
        <w:t>- 8 - mit der Erteilung einer (Kurz-)Aufenthaltsbewilligung zu rechnen ist (Urteil des Bundesgerichts 2C_481/2017 vom 15. Dezember 2017, Erw. 2.3). Aufgrund der Aktenlage ist nicht davon auszugehen, dass die Voraussetzungen für einen erfolgreichen Abschluss des Ehevorbereitungsverfahrens in Kürze vorliegen werden, zumal der Gesuchsgegner dafür zunächst seinen Aufenthalt legalisieren müsste, allenfalls noch die hinter seinem geplanten Eheschluss liegenden Motive zu überprüfen sind, die Übersetzung amtlicher ausländischer Dokumente erfahrungsgemäss viel Zeit in Anspruch nimmt und der Gesuchsgegner überdies auch nicht konkret darzulegen vermag, sämtliche erforderlichen Dokumente bereits besorgt und dem zuständigen Zivilstandsamt eingereicht zu haben (Protokoll S. 4, act. 23). Entgegen der Auffassung des Gesuchsgegners steht damit weder die Eheschliessung noch die Regularisierung seines Aufenthalts unmittelbar bevor. Der Gesuchsgegner macht sodann auch nicht geltend, er sei nicht hafterstehungsfähig. Bezüglich der psychischen Beschwerden und der Suizidgedanken, welche er seit seiner Ankunft im Bezirksgefängnis habe, ist festzuhalten, dass er sich deswegen weder in Behandlung begeben noch um einen Arzt ersucht hat (Protokoll S. 3, act. 22). Des Weiteren ist der Gesuchsgegner darauf hinzuweisen, dass es ihm während seiner Inhaftierung jederzeit zusteht, eine Untersuchung durch eine ärztliche Fachperson zu verlangen und notwendige Medikamente zu erhalten. Dies wurde ihm bereits anlässlich des rechtlichen Gehörs vom 10. Oktober 2023 mitgeteilt (MI-act. 66). Insgesamt sind damit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w:t>
      </w:r>
    </w:p>
    <w:p>
      <w:r>
        <w:t>- 9 -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