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WPR.2023.88 vom 5. Oktober 2023</w:t>
      </w:r>
    </w:p>
    <w:p>
      <w:r>
        <w:t>AG Verwaltungsgericht, 2023-10-05, DE</w:t>
      </w:r>
    </w:p>
    <w:p>
      <w:r>
        <w:rPr>
          <w:b/>
        </w:rPr>
        <w:t xml:space="preserve">Quelle: </w:t>
      </w:r>
      <w:r>
        <w:t>https://mcp.opencaselaw.ch/entscheid/ag_verwaltungsgericht_WPR.2023.88</w:t>
      </w:r>
    </w:p>
    <w:p>
      <w:r>
        <w:t>FR: AG_VERWALTUNGSGERICHT WPR.2023.88 du 5 octobre 2023</w:t>
      </w:r>
    </w:p>
    <w:p>
      <w:r>
        <w:t>IT: AG_VERWALTUNGSGERICHT WPR.2023.88 del 5 ottobre 2023</w:t>
      </w:r>
    </w:p>
    <w:p>
      <w:pPr>
        <w:pStyle w:val="Heading2"/>
      </w:pPr>
      <w:r>
        <w:t>Erwägungen</w:t>
      </w:r>
    </w:p>
    <w:p>
      <w:r>
        <w:rPr>
          <w:b/>
        </w:rPr>
        <w:t>E. 2</w:t>
      </w:r>
    </w:p>
    <w:p>
      <w:r>
        <w:t>Kammer WPR.2023.88 / nk ZEMIS [***]; N [***] Urteil vom 5. Oktober 2023 Besetzung Verwaltungsrichter Clavadetscher, Vorsitz Gerichtsschreiber i.V. Käser Gesuchsteller Amt für Migration und Integration Kanton Aargau, Sektion Asyl und Rückkehr, Bahnhofstrasse 88, 5001 Aarau vertreten durch Bettina Attenberger, Bahnhofstrasse 88, 5001 Aarau 1 Gesuchsgegner A._____, von Algerien z. Zt. im Bezirksgefängnis, 5000 Aarau amtlich vertreten durch MLaw Tamara De Caro, Rechtsanwältin, Stadtturmstrasse 19, Postfach, 5401 Baden Gegenstand Ausschaffungshaft gestützt auf Art. 76 AIG / Haftüberprüfung</w:t>
      </w:r>
    </w:p>
    <w:p>
      <w:r>
        <w:t>- 2 - Der Einzelrichter entnimmt den Akten: A. Der Gesuchsgegner reiste am 24. Oktober 2020 illegal in die Schweiz ein und stellte am darauffolgenden Tag ein Asylgesuch (Akten des Amts für Migration und Integration [MI-act.] 5). Mit Entscheid vom 16. April 2021 lehnte das Staatssekretariat für Migration (SEM) das Asylgesuch des Gesuchsgegners ab, wies ihn aus der Schweiz weg, ordnete an, er habe die Schweiz nach Eintritt der Rechtskraft zu verlassen und beauftragte den Kanton Aargau mit dem Vollzug der Wegweisung (MI-act. 103 ff.). Mit Schreiben vom 31. Mai 2021 bestätigte das SEM die Rechtskraft des Entscheids per 26. Mai 2021 (MI-act. 115). Anlässlich des Ausreisegesprächs vom 24. Juni 2021 gab der Gesuchsgegner gegenüber dem MIKA an, nicht freiwillig nach Algerien zurückkehren zu wollen. Ausserdem gab er an, er habe seine Dokumente in Boudry abgegeben (MI-act. 136 f.). Im Rahmen des rechtlichen Gehörs vom 13. April 2022 betreffend eine Eingrenzung des Gesuchsgegners auf das Gebiet des Kantons Aargau gab dieser wiederum zu Protokoll, dass er nicht bereit sei, freiwillig nach Algerien zurückzukehren (MI-act. 230 ff.). Am selben Tag verfügte das MIKA die Eingrenzung des Gesuchsgegners auf das Gebiet des Kantons Aargau (MI-act. 232 ff.). Das SEM stellte beim algerischen Konsulat einen Antrag auf Abklärung der Identität des Gesuchsgegners (MI-act. 242 f.). Ab dem 15. Juni 2022 galt der Gesuchsgegner als unbekannten Aufenthalts (MI-act. 266). Der Gesuchsgegner wurde am 29. Mai 2023 von der KAPO Tessin verhaftet (MI-act. 300 f.). Daraufhin trat der Gesuchsgegner in den Strafvollzug im Kanton Zürich ein und verbüsste eine Freiheits- und Ersatzfreiheitsstrafe von 193 Tagen (MI-act. 359 ff.). Der Gesuchsgegner erwirkte im Zeitraum vom 21. April 2021 bis zum 12. Juli 2023 mehrere Strafbefehle gegen sich (MI-act. 113, 207, 261, 297, 341). Nach mehreren abgesagten Terminen bestätigte das SEM, dass der Gesuchsgegner für ein Counseling bei den algerischen Behörden per Ende Oktober angemeldet ist (MI-act. 371, 394). Der Gesuchsgegner wurde am 3. Oktober 2023, 10.30 Uhr, aus dem Strafvollzug im Kanton Zürich entlassen und unmittelbar daran anschliessend im Auftrag des MIKA migrationsrechtlich festgenommen</w:t>
      </w:r>
    </w:p>
    <w:p>
      <w:r>
        <w:t>- 3 - (MI-act. 366 f.). Am selben Tag wurde der Gesuchsgegner dem MKA zugeführt (MI-act. 366 f.). B. Im Rahmen der Befragung durch das MIKA wurde dem Gesuchsgegner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- 5 - Das MIKA hat den Gesuchsgegner mit Verfügung vom 3. Oktober 2023 unter Anordnung der sofortigen Vollstreckbarkeit aus der Schweiz und dem Schengen-Raum weggewiesen (MI-act. 400 ff.). Diese Verfügung wurde dem Gesuchsgegner gleichentags eröffnet (MI-act. 403),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Die Vertreterin des Gesuchsgegners bringt vor, dass aufgrund der mehrmals verschobenen Counselings nicht mit gutem Gewissen davon ausgegangen werden könne, dass die Ausschaffung nach Algerien vollzogen werden könne. Diesen Ausführungen kann soweit nicht gefolgt werden, als dass ein weiteres Counseling per Ende Oktober 2023 angesetzt ist und Stand der heutigen Verhandlung – ausser den vergangenen Absagen – nichts darauf hindeutet, wonach dieses Counseling ebenfalls abgesagt werden müsste. Das MIKA hat denn auch eine mündliche Bestätigung des SEM, wonach sich der Gesuchsgegner auf der Liste für das nächste Counseling befindet (MI-act. 394). Zusätzlich wird darauf hingewiesen, dass im Falle einer erneuten Absage des Counselings die Möglichkeit eines Haftentlassungsgesuchs besteht und die Haft danach aufgrund neuer Erkenntnisse geprüft werden kann. Dementsprechend scheint es verhältnismässig, davon auszugehen, dass die Möglichkeit des Vollzugs der Ausschaffung weiterhin besteht, da die Chance auf das Stattfinden des Counselings als intakt anzusehen ist. Weitere Anzeichen, die an der Ausschaffungsmöglichkeit in rechtlicher oder tatsächlicher Hinsicht Zweifel aufkommen lassen würden, sind ebenfalls keine ersichtlich.</w:t>
      </w:r>
    </w:p>
    <w:p>
      <w:r>
        <w:rPr>
          <w:b/>
        </w:rPr>
        <w:t>E. 3</w:t>
      </w:r>
    </w:p>
    <w:p>
      <w:r>
        <w:t>Unter Kosten-und Entschädigungsfolgen zu Lasten des Staates.</w:t>
      </w:r>
    </w:p>
    <w:p>
      <w:r>
        <w:t>- 4 -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3. Oktober 2023, 10.30 Uhr, aus dem Strafvollzug entlassen und dem MIKA zugeführt. Die mündliche Verhandlung begann am 5. Oktober 2023, 15.05 Uhr; das Urteil wurde um 15.55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w:t>
      </w:r>
    </w:p>
    <w:p>
      <w:r>
        <w:t>- 6 -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rechtskräftiger Wegweisungsentscheid vorliegt (MI-act. 400 ff.), hätte die Schweiz per sofort verlassen müssen. Anlässlich diverser Ausreisegespräche sowie anlässlich der Gewährung des rechtlichen Gehörs betreffend die Anordnung einer Ausschaffungshaft vom 3. Oktober 2023 äusserte sich der Gesuchsgegner dahingehend, dass er nicht bereit sei, die Schweiz freiwillig in Richtung Algerien zu verlassen (MI-act. 136 ff., 230 ff., 395 ff.). In der konstanten Weigerung, der Ausreisepflicht nachzukommen und in Anbetracht dessen, dass der Gesuchsgegner bereits einmal unbekannten Aufenthalts war, ist ein klares Anzeichen dafür zu erkennen, dass sich der Gesuchgegner der Ausschaffung entziehen will. Insgesamt setzte der Gesuchsgegner damit klare Anzeichen für eine Untertauchensgefahr, und es ist nicht davon auszugehen, dass er nach einer Entlassung aus der Ausschaffungshaft die Schweiz selbständig in Richtung Algerien verlassen würde. Damit ist der Haftgrund von Art. 76 Abs. 1 lit. b Ziff. 3 und 4 AIG erfüllt.</w:t>
      </w:r>
    </w:p>
    <w:p>
      <w:r>
        <w:rPr>
          <w:b/>
        </w:rPr>
        <w:t>E. 3.2</w:t>
      </w:r>
    </w:p>
    <w:p>
      <w:r>
        <w:t>Nachdem ein Haftgrund vorliegt, kann offenbleiben, ob auch die Haftgründe von Art. 76 Abs. 1 lit. b Ziff. 1 AIG i.V.m. Art. 75 Abs. 1 lit. b AIG und Art. 76 Abs. 1 lit. b Ziff. 1 AIG i.V.m. Art. 75 Abs. 1 lit. h AIG erfüllt sind.</w:t>
      </w:r>
    </w:p>
    <w:p>
      <w:r>
        <w:t>- 7 -</w:t>
      </w:r>
    </w:p>
    <w:p>
      <w:r>
        <w:rPr>
          <w:b/>
        </w:rPr>
        <w:t>E. 4</w:t>
      </w:r>
    </w:p>
    <w:p>
      <w:r>
        <w:t>Bezüglich der Haftbedingungen liegen keine Beanstandungen vor (Protokoll S. 3, act. 25).</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Die Vertreterin des Gesuchsgegners wird aufgefordert, nach Haftentlassung des Gesuchsgegners ihre Kostennote einzureichen. IV. 1. Der Gesuchsgegner wird darauf hingewiesen, dass ein Haftentlassungsgesuch frühestens einen Monat nach Haftüberprüfung</w:t>
      </w:r>
    </w:p>
    <w:p>
      <w:r>
        <w:t>- 8 -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