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WPR.2023.87 vom 5. Oktober 2023</w:t>
      </w:r>
    </w:p>
    <w:p>
      <w:r>
        <w:t>AG Verwaltungsgericht, 2023-10-05, DE</w:t>
      </w:r>
    </w:p>
    <w:p>
      <w:r>
        <w:rPr>
          <w:b/>
        </w:rPr>
        <w:t xml:space="preserve">Quelle: </w:t>
      </w:r>
      <w:r>
        <w:t>https://mcp.opencaselaw.ch/entscheid/ag_verwaltungsgericht_WPR.2023.87</w:t>
      </w:r>
    </w:p>
    <w:p>
      <w:r>
        <w:t>FR: AG_VERWALTUNGSGERICHT WPR.2023.87 du 5 octobre 2023</w:t>
      </w:r>
    </w:p>
    <w:p>
      <w:r>
        <w:t>IT: AG_VERWALTUNGSGERICHT WPR.2023.87 del 5 ottobre 2023</w:t>
      </w:r>
    </w:p>
    <w:p>
      <w:pPr>
        <w:pStyle w:val="Heading2"/>
      </w:pPr>
      <w:r>
        <w:t>Erwägungen</w:t>
      </w:r>
    </w:p>
    <w:p>
      <w:r>
        <w:rPr>
          <w:b/>
        </w:rPr>
        <w:t>E. 2</w:t>
      </w:r>
    </w:p>
    <w:p>
      <w:r>
        <w:t>Die Haft begann am 2. Oktober 2023, 10.00 Uhr. Sie wird in Anwendung von Art. 76 AIG für drei Monate bis zum 1. Januar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20. September 2023 wurde der Gesuchsgegner durch das Bezirksgericht Baden gestützt auf Art. 66a StGB für acht Jahre aus der Schweiz verwiesen (MI-act. 104 ff.). Das Urteil erwuchs in der Folge unangefochten in Rechtskraft (MI-act. 117). Damit liegt eine rechtsgenügliche Landesverweisung vor.</w:t>
      </w:r>
    </w:p>
    <w:p>
      <w:r>
        <w:t>- 5 -</w:t>
      </w:r>
    </w:p>
    <w:p>
      <w:r>
        <w:rPr>
          <w:b/>
        </w:rPr>
        <w:t>E. 2.3</w:t>
      </w:r>
    </w:p>
    <w:p>
      <w:r>
        <w:t>Gemäss Art. 80 Abs. 6 lit. a AIG ist die Haft zu beenden, wenn sich erweist, dass der Vollzug der Wegweisung aus rechtlichen oder tatsächlichen Gründen undurchführbar ist. Die Vertreterin des Gesuchsgegners bringt vor, dass der Gesuchsgegner seitens der algerischen Behörden noch nicht anerkannt und auch noch nicht bei einem Counseling gewesen sei. Es sei demnach nicht erwiesen, dass er als Algerier anerkannt werden könne (act. 27). Diesen Ausführungen kann insoweit nicht gefolgt werden, als dass die Identität des Gesuchsgegners zwar noch nicht feststeht, jedoch unbestritten ist, dass der Gesuchsgegner die algerische Staatsbürgerschaft besitzt. Sowohl anlässlich des rechtlichen Gehörs betreffend die Anordnung einer Ausschaffungshaft vom 2. Oktober 2023 als auch anlässlich der heutigen Verhandlung gab der Gesuchsgegner an, er stamme aus Algerien (MI- act. 122, Protokoll S. 3, act. 32). Was die Identifizierung angeht, brachte der Vertreter des Gesuchstellers vor, dass diese hängig sei und eine Anfrage am 29. August 2023 bei den algerischen Behörden eingereicht worden sei (Protokoll S. 4, act. 33). Zudem werde alle drei Monate ein neuer Identifikationsantrag bei den algerischen Behörden eingereicht. Ein Counceling hingegen könne lediglich bei identifizierten Personen durchgeführt werden (Protokoll S. 4, act. 33). Das MIKA gibt weiter an, als nächster Schritt sei die Mitwirkung des Gesuchsgegners bei der Papierbeschaffung vorgesehen (Protokoll S. 4, act. 33). In Anbetracht dessen, dass bei einer erfolgreichen Papierbeschaffung auch ein Counseling möglich wäre, liegt die Verantwortung diesbezüglich gänzlich beim Gesuchsgegner. Darüber hinaus geht das MIKA davon aus, dass auch ohne die Kooperation des Gesuchsgegners die Identität des Gesuchsgegners innerhalb der gesetzlichen Haftdauer abgeklärt und die Wegweisung vollzogen werden kann (act. 3). Nach dem Gesagten stehen – entgegen der Auffassung der Rechtsvertreterin des Gesuchsgegners – dem Vollzug der Wegweisung zum heutigen Zeitpunkt keine Hindernisse entgegen. 3.</w:t>
      </w:r>
    </w:p>
    <w:p>
      <w:r>
        <w:rPr>
          <w:b/>
        </w:rPr>
        <w:t>E. 3</w:t>
      </w:r>
    </w:p>
    <w:p>
      <w:r>
        <w:t>Eventualiter wird gestützt auf Art. 78 AIG eine Durchsetzungshaft für die Dauer von einem Monat angeordnet.</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w:t>
      </w:r>
    </w:p>
    <w:p>
      <w:r>
        <w:t>- 6 -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Der Gesuchsgegner, gegen den ein rechtskräftiger Wegweisungsentscheid (MI-act. 37) und ein Landesverweis nach Art. 66a StGB vorliegen (MI- act. 104 ff.), hätte die Schweiz per sofort verlassen müssen. Anlässlich des rechtlichen Gehörs betreffend die Anordnung einer Ausschaffungshaft äusserte sich der Gesuchsgegner dahingehend, nicht freiwillig nach Algerien zurückkehren zu wollen (MI-act. 122 ff.). Daran ändert auch nichts, dass der Gesuchsgegner anlässlich der heutigen Verhandlung aussagte, nach Algerien zurückkehren zu wollen und mit dem MIKA zu kooperieren (Protokoll S. 5, act. 5). Diese Aussage erscheint als reine Schutzbehauptung. Insbesondere deshalb, da die Kooperationsbereit- schaft des Gesuchsgegners an die Bedingung geknüpft wird, nicht in Haft gehalten zu werden. Viel mehr entsteht der Eindruck, dass sich der Gesuchsgegner mit seinen Aussagen versucht, der Ausschaffung zu entziehen. Insgesamt setzte der Gesuchsgegner damit klare Anzeichen für eine Untertauchensgefahr, und es ist nicht davon auszugehen, dass er nach einer Entlassung aus der Ausschaffungshaft die Schweiz selbständig in Richtung Algerien verlassen würde. Damit ist der Haftgrund von Art. 76 Abs. 1 lit. b Ziff. 3 und 4 AIG erfüllt.</w:t>
      </w:r>
    </w:p>
    <w:p>
      <w:r>
        <w:t>- 7 -</w:t>
      </w:r>
    </w:p>
    <w:p>
      <w:r>
        <w:rPr>
          <w:b/>
        </w:rPr>
        <w:t>E. 3.2</w:t>
      </w:r>
    </w:p>
    <w:p>
      <w:r>
        <w:t>Nachdem ein Haftgrund vorliegt, kann offenbleiben, ob auch der Haftgrund von Art. 76 Abs. 1 lit. b Ziff. 1 AIG i.V.m. Art. 75 Abs. 1 lit. h AIG vorliegt.</w:t>
      </w:r>
    </w:p>
    <w:p>
      <w:r>
        <w:rPr>
          <w:b/>
        </w:rPr>
        <w:t>E. 4</w:t>
      </w:r>
    </w:p>
    <w:p>
      <w:r>
        <w:t>Bezüglich der Haftbedingungen liegen keine Beanstandungen vor (Protokoll S. 4, act. 33).</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Landesverweisung sicherzustellen, liegt auf der Hand und bedarf keine weiteren Ausführungen. Gleiches gilt mit Blick auf die Notwendigkeit der Anordnung einer Ausschaffungshaft. Eine mildere Massnahme zur Sicherstellung des Vollzugs der Weg- und Landesverweisung ist vorliegend nicht ersichtlich. Insbesondere würde die Anordnung einer Meldepflicht bzw. einer Eingrenzung nicht ausreichen, da dadurch nicht sichergestellt werden kann, dass der Gesuchsgegner tatsächlich ausreisen wird. Dies gilt umso mehr, als der Gesuchsgegner sich mehrfach weigerte, die Schweiz zu verlassen und mit seinem Verhalten keinerlei Gewähr für eine ordnungsgemässe Ausreise in sein Heimatland bietet. Bezüglich der familiären Verhältnisse ergeben sich keine Anhaltspunkte, welche gegen eine Haftanordnung sprechen würden. Der Gesuchsgegner macht auch nicht geltend, er sei nicht hafterstehungsfähig. Insgesamt sind</w:t>
      </w:r>
    </w:p>
    <w:p>
      <w:r>
        <w:t>- 8 - keinerlei Gründe ersichtlich, welche die angeordnete Haft als unverhältnismässig erscheinen liessen.</w:t>
      </w:r>
    </w:p>
    <w:p>
      <w:r>
        <w:rPr>
          <w:b/>
        </w:rPr>
        <w:t>E. 8</w:t>
      </w:r>
    </w:p>
    <w:p>
      <w:r>
        <w:t>Anzumerken bleibt, dass auch die durch die Rechtsvertreterin des Gesuchsgegners monierte möglicherweise lange Dauer der Papierbeschaffung zu keinem anderen Resultat führt. Dies jedenfalls solange nicht, als die Schweizer Behörden die Ausschaffung des Gesuchsgegners mit Nachdruck vorantreiben. Dabei ist aber zu berücksichtigen, dass sich ein zu grosser Druck gegenüber den Algerischen Behörden bzw. ein zu häufiges Nachfragen bekanntermassen kontraproduktiv auf deren Kooperationsbereitschaft auswirken kann.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Die Vertreterin des Gesuchsgegners wird aufgefordert, nach Haftentlassung des Gesuchsgegners ihre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- 9 - 3.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