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WPR.2023.8 vom 10. Februar 2023</w:t>
      </w:r>
    </w:p>
    <w:p>
      <w:r>
        <w:t>AG Verwaltungsgericht, 2023-02-10, DE</w:t>
      </w:r>
    </w:p>
    <w:p>
      <w:r>
        <w:rPr>
          <w:b/>
        </w:rPr>
        <w:t xml:space="preserve">Quelle: </w:t>
      </w:r>
      <w:r>
        <w:t>https://mcp.opencaselaw.ch/entscheid/ag_verwaltungsgericht_WPR.2023.8</w:t>
      </w:r>
    </w:p>
    <w:p>
      <w:r>
        <w:t>FR: AG_VERWALTUNGSGERICHT WPR.2023.8 du 10 février 2023</w:t>
      </w:r>
    </w:p>
    <w:p>
      <w:r>
        <w:t>IT: AG_VERWALTUNGSGERICHT WPR.2023.8 del 10 febbraio 2023</w:t>
      </w:r>
    </w:p>
    <w:p>
      <w:pPr>
        <w:pStyle w:val="Heading2"/>
      </w:pPr>
      <w:r>
        <w:t>Erwägungen</w:t>
      </w:r>
    </w:p>
    <w:p>
      <w:r>
        <w:rPr>
          <w:b/>
        </w:rPr>
        <w:t>E. 2</w:t>
      </w:r>
    </w:p>
    <w:p>
      <w:r>
        <w:t>Die Haft begann am 8. Februar 2023, 15.00 Uhr. Sie wird in Anwendung von Art. 76 AIG für drei Monate bis zum 7. Mai 2023, 12.00 Uhr, angeord- 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Mit Verfügung vom 13. Januar 2023 trat das SEM auf das Asylgesuch des Gesuchsgegners nicht ein und wies ihn aus der Schweiz weg (MI- act. 16 ff.). Dieser Entscheid ist am 24. Januar 2023 unangefochten in Rechtskraft erwachsen (MI-act. 28), womit ein rechtsgenüglicher Wegwei- sungsentscheid vorliegt.</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w:t>
      </w:r>
    </w:p>
    <w:p>
      <w:r>
        <w:rPr>
          <w:b/>
        </w:rPr>
        <w:t>E. 3</w:t>
      </w:r>
    </w:p>
    <w:p>
      <w:r>
        <w:t>Die Haft wird im Zentrum für ausländerrechtliche Administrativhaft Zürich oder im Bezirksgefängnis Aarau vollzogen.</w:t>
      </w:r>
    </w:p>
    <w:p>
      <w:r>
        <w:t>- 3 - C. Anlässlich der heutigen Verhandlung vor dem Einzelrichter des Verwal- tungsgerichts wurden der Gesuchsteller und der Gesuchsgegner befragt. D. Der Gesuchsteller beantragte die Bestätigung der Haftanordnung (Proto- koll S. 3, act. 27). Der Gesuchsgegner liess folgende Anträge stellen (Protokoll S. 3 f., act. 27 f.): Die mit Verfügung vom 08.02.2023 des Amts für Migration und Integration (MIKA) angeordnete Ausschaffungshaft nach Art. 76 AIG für drei Monate sei nicht zu bestätigen. Eventualiter sei die Ausschaffungshaft dem Verhältnismässigkeitsprinzip folgend für einen Monat zu erteilen.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 tegration vom 16. Dezember 2005 [Ausländer- und Integrationsgesetz, AIG; SR 142.20], § 6 des Einführungsgesetzes zum Ausländerrecht vom 25. November 2008 [EGAR; SAR 122.600]). Die Haftüberprüfungsfrist be- ginnt mit der ausländerrechtlich motivierten Anhaltung der betroffenen Per- son zu laufen (vgl. BGE 127 II 174, Erw. 2. b/aa). 2. Im vorliegenden Fall erschien der Gesuchsgegner am 8. Februar 2023, 15.00 Uhr, einer Vorladung folgend beim MIKA und wurde ab diesem Zeit- punkt migrationsrechtlich festgehalten. Die mündliche Verhandlung begann am 10. Februar 2023, 10.30 Uhr; das Urteil wurde um 10.55 Uhr eröffnet. Die richterliche Haftüberprüfung erfolgte somit innerhalb der Frist von 96 Stunden. II. 1. Wurde ein erstinstanzlicher Weg- oder Ausweisungsentscheid eröffnet oder wurde die betroffene Person mit einer Landesverweisung belegt, kann</w:t>
      </w:r>
    </w:p>
    <w:p>
      <w:r>
        <w:t>- 4 - die zuständige kantonale Behörde die betroffene Person zur Sicherstellung des Vollzugs in Haft nehmen (Art. 76 AIG). Zuständige kantonale Behörde im Sinne von Art. 76 Abs. 1 AIG ist gemäss § 13 Abs. 1 EGAR das MIKA. Im vorliegenden Fall wurde die Haftanord- 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w:t>
      </w:r>
    </w:p>
    <w:p>
      <w:r>
        <w:t>- 5 - insbesondere auch gegenüber den Behörden, sowie ihrer eigenen Aussa- gen zu beurteilen. Auch wenn einzelne Fakten für sich eine Ausschaffungs- haft nicht rechtfertigen, kann dies aufgrund der Gesamtheit der Vorkomm- 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ANDREAS ZÜND, in: MARC SPESCHA/ANDREAS ZÜND/PETER BOLZLI/ CONSTANTIN HRUSCHKA/FANNY DE WECK [Hrsg.], Kommentar Migra- 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Der Gesuchsgegner, gegen den ein rechtskräftiger Wegweisungsentscheid vorliegt (MI-act. 16 ff.), hätte die Schweiz bis zum 25. Januar 2023 verlas- sen müssen (MI-act. 28). Anlässlich des Ausreisegespräch vom 8. Februar 2023 sowie anlässlich der Gewährung des rechtlichen Gehörs betreffend die Anordnung einer Ausschaffungshaft (MI-act. 35 ff.) äusserte sich der Gesuchsgegner dahingehend, dass er nicht bereit sei, die Schweiz in Rich- tung Griechenland oder Somalia zu verlassen (MI-act. 35, 38). Auch im Rahmen der heutigen Verhandlung gab der Gesuchsgegner zu Protokoll, dass er nicht freiwillig nach Griechenland zurückkehren wolle und eine Aus- reise nach Somalia bevorzuge, sofern die Ausreise schnell organisiert werde (Protokoll S. 3, act. 27). In dieser konsistenten Weigerung, der Aus- reisepflicht nachzukommen, ist ein klares Anzeichen dafür zu erkennen, dass sich der Gesuchsgegner der Ausschaffung entziehen will. Daran ändert – entgegen der Ansicht des Rechtsvertreters des Gesuchsgegners – auch nichts, dass der Gesuchsgegner sämtlichen Vorladungen Folge ge- leistet und mit den Behörden kooperiert hat. Dieses Verhalten legte er an den Tag, als er noch nicht befürchten musste, ausgeschafft zu werden. Ferner hat der Gesuchsgegner gemäss EURODAC-Registerauszug vom 10. Dezember 2021 Asylgesuche in Griechenland, Italien und Frankreich</w:t>
      </w:r>
    </w:p>
    <w:p>
      <w:r>
        <w:t>- 6 - gestellt (MI-act. 15), sodass er sich vorhalten lassen muss, dass er sich in Europa als Asyltourist aufhält und damit keine Gewähr für eine ordnungs- gemässe Ausreise aus der Schweiz bietet. Unter diesen Umständen steht fest, dass der Gesuchsgegner – entgegen der Auffassung seines Rechtsvertreters – mit seinem bisherigen Verhalten klare Anzeichen für eine Untertauchensgefahr gesetzt hat, und es ist nicht davon auszugehen, dass er nach Entlassung aus der Ausschaffungshaft die Schweiz freiwillig in Richtung Griechenland verlassen würde. Damit ist der Haftgrund von Art. 76 Abs. 1 lit. b Ziff. 3 und 4 AIG erfüllt.</w:t>
      </w:r>
    </w:p>
    <w:p>
      <w:r>
        <w:rPr>
          <w:b/>
        </w:rPr>
        <w:t>E. 4</w:t>
      </w:r>
    </w:p>
    <w:p>
      <w:r>
        <w:t>Bezüglich der Haftbedingungen liegen keine Beanstandungen vor (Proto- koll S. 3, act. 27).</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drei Monate an. Nachdem die griechischen Behörden der Rückübernahme des Gesuchsgegners aber be- reits zugestimmt haben (MI-act. 13) und gemäss Angaben des MIKA in der Regel innert 15 Arbeitstagen nach Vorliegen einer Flugbuchung mit der Rückführung gerechnet werden kann (Protokoll S. 3, act. 27), ist die bean- tragte Haftdauer zu lange und nicht verhältnismässig. Unter diesen Um- ständen ist es angezeigt, die Haft nur bis zum 17. März 2023, 12.00 Uhr, zu bestätigen.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 entgegen der Auffassung des Rechts- vertreters des Gesuchsgegners – nicht ersichtlich. Wie gesehen bietet der Gesuchsgegner mit seinem Verhalten und vor allem mit seiner Weigerung, auszureisen, keinerlei Gewähr für eine ordnungsgemässe Ausreise in sein Heimatland, weshalb die Anordnung einer Eingrenzung nicht zielführend wäre.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 mässig erscheinen liessen.</w:t>
      </w:r>
    </w:p>
    <w:p>
      <w:r>
        <w:t>- 7 -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im Anschluss an die Verhandlung per E-Mail zugestellt.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