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WPR.2023.78 vom 15. September 2023</w:t>
      </w:r>
    </w:p>
    <w:p>
      <w:r>
        <w:t>AG Verwaltungsgericht, 2023-09-15, DE</w:t>
      </w:r>
    </w:p>
    <w:p>
      <w:r>
        <w:rPr>
          <w:b/>
        </w:rPr>
        <w:t xml:space="preserve">Quelle: </w:t>
      </w:r>
      <w:r>
        <w:t>https://mcp.opencaselaw.ch/entscheid/ag_verwaltungsgericht_WPR.2023.78</w:t>
      </w:r>
    </w:p>
    <w:p>
      <w:r>
        <w:t>FR: AG_VERWALTUNGSGERICHT WPR.2023.78 du 15 septembre 2023</w:t>
      </w:r>
    </w:p>
    <w:p>
      <w:r>
        <w:t>IT: AG_VERWALTUNGSGERICHT WPR.2023.78 del 15 settembre 2023</w:t>
      </w:r>
    </w:p>
    <w:p>
      <w:pPr>
        <w:pStyle w:val="Heading2"/>
      </w:pPr>
      <w:r>
        <w:t>Erwägungen</w:t>
      </w:r>
    </w:p>
    <w:p>
      <w:r>
        <w:rPr>
          <w:b/>
        </w:rPr>
        <w:t>E. 2</w:t>
      </w:r>
    </w:p>
    <w:p>
      <w:r>
        <w:t>Die Haft begann am 13. September 2023, 10.35 Uhr. Sie wird in Anwen- dung von Art. 76 AIG für drei Monate bis zum 12. Dezember 2023,12.00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Entscheid vom 7. Januar 2020 lehnte das SEM das Asylgesuch des Gesuchsgegners ab und wies ihn aus der Schweiz weg (MI-act. 36 ff.). Die</w:t>
      </w:r>
    </w:p>
    <w:p>
      <w:r>
        <w:t>- 5 - dagegen erhobene Beschwerde wies das Bundesverwaltungsgericht mit Urteil vom 31. Mai 2023 ab (MI-act. 54 ff.). Damit liegt ein rechtsgenügli- cher Wegweisungsentscheid vor.</w:t>
      </w:r>
    </w:p>
    <w:p>
      <w:r>
        <w:rPr>
          <w:b/>
        </w:rPr>
        <w:t>E. 2.3</w:t>
      </w:r>
    </w:p>
    <w:p>
      <w:r>
        <w:t>Gemäss Art. 80 Abs. 6 lit. a AIG ist die Haft zu beenden, wenn sich erweist, dass der Vollzug der Wegweisung aus rechtlichen oder tatsächlichen Grün- den undurchführbar ist. Abgesehen davon, dass die Zulässigkeit, Zumutbarkeit und Möglichkeit des Vollzugs der Wegweisung des Gesuchsgegners im Asylverfahren durch das SEM (MI-act. 43 f.) und das Bundesverwaltungsgericht (Urteil E-730/2020 vom 31. Mai 2023, Erw. 7 [MI-act. 67 ff.]) bereits geprüft (und bejaht) wurden, hat der Haftrichter diesbezüglich ohnehin nur eine einge- schränkte Kognition und die Haftgenehmigung ist nur dann zu verweigern, wenn sich der zu sichernde Wegweisungsentscheid als offensichtlich un- zulässig erweist (BGE 125 II 217, Erw. 2). Dies ist hier nicht der Fall, nach- dem der Gesuchsgegner eine aktuelle und konkrete persönliche Gefähr- dung weder substantiiert dargelegt noch belegt hat. Weitere Anzeichen, die an der Ausschaffungsmöglichkeit in tatsächlicher oder rechtlicher Hinsicht Zweifel aufkommen lassen würden, sind nicht er- kennbar. Dies umso weniger, als der Gesuchsgegner von den sri-lanki- schen Behörden als sri-lankischer Staatsangehöriger identifiziert und die Ausstellung eines Ersatzreisedokuments zugesichert wurde (MI-act. 110). Nachdem auch regelmässige Flugverbindungen nach Sri Lanka bestehen (act. 2) und nach Angaben des Vertreters des MIKA anlässlich der heutigen Verhandlung die letzte begleitete Ausschaffung nach Sri Lanka am 11. September 2023 erfolgt ist (Protokoll S. 4, act. 18), stehen dem Vollzug der Wegweisung zum heutigen Zeitpunkt keine Hindernisse entgegen. 3.</w:t>
      </w:r>
    </w:p>
    <w:p>
      <w:r>
        <w:rPr>
          <w:b/>
        </w:rPr>
        <w:t>E. 3</w:t>
      </w:r>
    </w:p>
    <w:p>
      <w:r>
        <w:t>Die Sprechende sei als amtliche Vertreterin für das vorliegende Verfahren zu bestellen und zu entschädigen.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w:t>
      </w:r>
    </w:p>
    <w:p>
      <w:r>
        <w:t>- 6 -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MARC SPESCHA/ANDREAS ZÜND/PETER BOLZLI/CONSTANTIN HRUSCHKA/FANNY DE WECK [Hrsg.], Kommentar Migrationsrecht, 5. Aufl., Zürich 2019, N. 7 zu Art. 76 AIG und TARKAN GÖKSU, in: MARTINA CA- RONI/THOMAS GÄCHTER/DANIELA THURNHERR [Hrsg.], Stämpflis Handkom- mentar zum Bundesgesetz über die Ausländerinnen und Ausländer [AuG], Bern 2010, N. 11 zu Art. 76).</w:t>
      </w:r>
    </w:p>
    <w:p>
      <w:r>
        <w:rPr>
          <w:b/>
        </w:rPr>
        <w:t>E. 3.2</w:t>
      </w:r>
    </w:p>
    <w:p>
      <w:r>
        <w:t>Der Gesuchsgegner, gegen den ein rechtskräftiger Wegweisungsentscheid vorliegt (MI-act. 36 ff.), hätte die Schweiz bis zum 14. Juli 2023 verlassen müssen (MI-act. 73). Anlässlich des Ausreisegesprächs vom 19. Juli 2023 sowie anlässlich der Gewährung des rechtlichen Gehörs betreffend die An- ordnung einer Ausschaffungshaft vom 13. September 2023 äusserte sich der Gesuchsgegner mehrfach dahingehend, er sei nicht bereit, die Schweiz in Richtung Sri Lanka zu verlassen (MI-act. 90 ff., 118 ff.). Auch im Rahmen der heutigen Verhandlung gab er erneut zu Protokoll, er sei nicht bereit, freiwillig nach Sri Lanka zurückzukehren; er wolle nach Malaysia ausreisen (Protokoll S. 2, act. 16). Eine Ausreise nach Malaysia würde allerdings das Vorliegen eines gültigen Reisepasses voraussetzen. Da der Gesuchsgeg- ner nicht bereit ist, bei der sri-lankischen Botschaft einen Reisepass zu be- schaffen (Protokoll S. 3, act. 17), ist seine erklärte Bereitschaft, nach Ma- laysia auszureisen, als blosse Schutzbehauptung zu bewerten. In der kon- stanten Weigerung, der Ausreisepflicht nachzukommen, ist ein klares An- zeichen dafür zu erkennen, dass sich der Gesuchsgegner der Ausschaf- fung entziehen will. Daran ändert – entgegen der Ansicht des Gesuchsgeg- ners – auch nichts, dass er sämtlichen Vorladungen Folge geleistet und die gegen ihn verfügte Eingrenzung beachtet hat. Primär massgeblich ist nicht, wie sich der Gesuchsgegner früher verhielt, sondern wie er sich verhielt, als ihm bewusst war, dass der Vollzug der Wegweisung unmittelbar bevor- steht. Anlässlich der Gewährung des rechtlichen Gehörs vom 13. Septem- ber 2023 gab der Gesuchsgegner gegenüber dem MIKA sinngemäss zu Protokoll, hätte er gewusst, dass es ernst sei, wäre er weggegangen (MI-</w:t>
      </w:r>
    </w:p>
    <w:p>
      <w:r>
        <w:t>- 7 - act. 119). Es ist deshalb davon auszugehen, dass der Gesuchsgegner bei einer Entlassung aus der Ausschaffungshaft, untertauchen würde. Ferner hat sich der Gesuchsgegner trotz entsprechender Aufforderung des MIKA und des SEM (MI-act. 73, 76) nicht darum bemüht, Reisepapiere zu beschaffen, sondern hat die Papierbeschaffung gänzlich den Behörden überlassen. Insgesamt hat der Gesuchsgegner damit klare Anzeichen für eine Unter- tauchensgefahr gesetzt, und es ist nicht davon auszugehen, dass er nach einer Entlassung aus der Ausschaffungshaft die Schweiz freiwillig in Richtung Sri Lanka verlassen würde. Damit ist der Haftgrund von Art. 76 Abs. 1 lit. b Ziff. 3 und 4 AIG erfüllt.</w:t>
      </w:r>
    </w:p>
    <w:p>
      <w:r>
        <w:rPr>
          <w:b/>
        </w:rPr>
        <w:t>E. 4</w:t>
      </w:r>
    </w:p>
    <w:p>
      <w:r>
        <w:t>Bezüglich der Haftbedingungen liegen keine Beanstandungen vor, die geeignet wären, die Haft als unverhältnismässig zu bezeichnen.</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Dass die Ausschaffungshaft geeignet ist, den Vollzug der Wegweisung si- cherzustellen, liegt auf der Hand und bedarf keiner weiteren Ausführungen. Gleichen gilt mit Blick auf die Notwendigkeit der Anordnung einer Ausschaf- fungshaft. Eine mildere Massnahme zur Sicherstellung des Vollzugs der Wegweisung ist nicht ersichtlich. Die vom MIKA verfügte Eingrenzung des Gesuchsgegners auf das Gebiet des Kantons Aargau (MI-act. 101 ff.) als mildere Massnahme hat ihn nicht dazu bewogen, die Schweiz zu verlassen. Ebenfalls reicht eine regelmässige Meldepflicht – entgegen den Vorbringen</w:t>
      </w:r>
    </w:p>
    <w:p>
      <w:r>
        <w:t>- 8 - des Gesuchsgegners (act. 23) – nicht aus, um sicherzustellen, dass der Gesuchsgegner tatsächlich ausreisen wird, wäre es ihm doch ohne weiteres möglich, sich bis zum Rückführungszeitpunkt bei den Behörden zu melden und trotzdem unterzutauchen, sobald der Rückflug anzutreten wäre. Dies gilt umso mehr, als der Gesuchsgegner sich mehrfach weigerte, die Schweiz zu verlassen. Bezüglich der familiären Verhältnisse ergeben sich keine Anhaltspunkte, welche gegen eine Haftanordnung sprechen würden. Was seine anlässlich der heutigen Verhandlung vorgebrachten psychischen Probleme betrifft (Protokoll S. 3, act. 17), ist der Gesuchsgegner darauf hinzuweisen, dass er jederzeit einen Arzt konsultieren kann. Der Gesuchsgegner macht so- dann nicht geltend, er sei nicht hafterstehungsfähig. Insgesamt sind keiner- 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eine amtli- che Rechtsvertretung zu bestellen, da das MIKA eine Haft für eine Dauer von mehr als 30 Tagen anordnete. Die Vertreterin des Gesuchsgegners wird aufgefordert, nach Haftentlassung des Gesuchsgegners ihre Kosten- 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w:t>
      </w:r>
    </w:p>
    <w:p>
      <w:r>
        <w:t>- 9 - 3.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