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WPR.2023.77 vom 13. September 2023</w:t>
      </w:r>
    </w:p>
    <w:p>
      <w:r>
        <w:t>AG Verwaltungsgericht, 2023-09-13, DE</w:t>
      </w:r>
    </w:p>
    <w:p>
      <w:r>
        <w:rPr>
          <w:b/>
        </w:rPr>
        <w:t xml:space="preserve">Quelle: </w:t>
      </w:r>
      <w:r>
        <w:t>https://mcp.opencaselaw.ch/entscheid/ag_verwaltungsgericht_WPR.2023.77</w:t>
      </w:r>
    </w:p>
    <w:p>
      <w:r>
        <w:t>FR: AG_VERWALTUNGSGERICHT WPR.2023.77 du 13 septembre 2023</w:t>
      </w:r>
    </w:p>
    <w:p>
      <w:r>
        <w:t>IT: AG_VERWALTUNGSGERICHT WPR.2023.77 del 13 settembre 2023</w:t>
      </w:r>
    </w:p>
    <w:p>
      <w:pPr>
        <w:pStyle w:val="Heading2"/>
      </w:pPr>
      <w:r>
        <w:t>Erwägungen</w:t>
      </w:r>
    </w:p>
    <w:p>
      <w:r>
        <w:rPr>
          <w:b/>
        </w:rPr>
        <w:t>E. 2</w:t>
      </w:r>
    </w:p>
    <w:p>
      <w:r>
        <w:t>Die Haft begann am 11. September 2023, 11.45 Uhr. Sie wird in Anwendung von Art. 76 AIG für drei Monate bis zum 10. Dezember 2023,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Verfügung vom 28. Juni 2018 lehnte das SEM das Asylgesuch des Gesuchsgegners ab und wies ihn aus der Schweiz weg (MI-act. 84 ff.). Die dagegen erhobene Beschwerde wies das Bundesverwaltungsgericht mit Urteil vom 13. Februar 2019 ab (MI-act. 131 ff.). Das in der Folge am</w:t>
      </w:r>
    </w:p>
    <w:p>
      <w:r>
        <w:rPr>
          <w:b/>
        </w:rPr>
        <w:t>E. 2.3</w:t>
      </w:r>
    </w:p>
    <w:p>
      <w:r>
        <w:t>Gemäss Art. 80 Abs. 6 lit. a AIG ist die Haft zu beenden, wenn sich erweist, dass der Vollzug der Wegweisung aus rechtlichen oder tatsächlichen Gründen undurchführbar ist. Der Vertreter des Gesuchsgegners brachte im Rahmen der heutigen Verhandlung vor, dass der Gesuchsgegner wohl ein neues Asylgesuch stellen werde, er folglich den Entscheid des SEM in der Schweiz abwarten dürfe und somit ein Vollzug der Wegweisung vorläufig nicht möglich sei. Aktenkundig wurde bis jetzt kein neues Asylgesuch gestellt, weshalb der Vollstreckbarkeit des Wegweisungsentscheids des SEM vom 4. April 2023 aktuell nichts im Wege steht. Weitere Anzeichen, die an der Ausschaffungsmöglichkeit in rechtlicher oder tatsächlicher Hinsicht Zweifel aufkommen lassen würden, sind keine ersichtlich. Dies umso weniger, als der Gesuchsgegner von den irakischen Behörden als irakischer Staatsangehöriger anerkannt wurde (MI-act. 344) und der Gesuchsgegner bereits für einen Sonderflug in den Irak</w:t>
      </w:r>
    </w:p>
    <w:p>
      <w:r>
        <w:t>- 6 - angemeldet werden konnte (MI-act. 395 f.). Anlässlich der heutigen Verhandlung gab die Vertreterin des Gesuchstellers zudem zu Protokoll, dass der Sonderflug am 21. September 2023 stattfinden werde (Protokoll, S. 5, act 40). Ausserdem wurde die Reisefähigkeit des Gesuchsgegners medizinisch abgeklärt und er wurde dabei als reisefähig befunden (act. 12 ff.). 3.</w:t>
      </w:r>
    </w:p>
    <w:p>
      <w:r>
        <w:rPr>
          <w:b/>
        </w:rPr>
        <w:t>E. 3</w:t>
      </w:r>
    </w:p>
    <w:p>
      <w:r>
        <w:t>Unter Kosten- und Entschädigungsfolge.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11. September 2023, 09.10 Uhr, angehalten. Die mündliche Verhandlung begann am 13. September 2023, 11.05 Uhr; das Urteil wurde um 11.40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w:t>
      </w:r>
    </w:p>
    <w:p>
      <w:r>
        <w:t>- 5 - Zuständige kantonale Behörde im Sinne von Art. 76 Abs. 1 AIG ist gemäss § 13 Abs. 1 EGAR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w:t>
      </w:r>
    </w:p>
    <w:p>
      <w:r>
        <w:rPr>
          <w:b/>
        </w:rPr>
        <w:t>E. 3.2</w:t>
      </w:r>
    </w:p>
    <w:p>
      <w:r>
        <w:t>Der Gesuchsgegner, gegen den ein rechtskräftiger Wegweisungsentscheid vorliegt (MI-act. 358 ff.), hätte die Schweiz längst verlassen müssen (MI- act. 387 ff). Anlässlich diverser Ausreisegespräche sowie anlässlich der</w:t>
      </w:r>
    </w:p>
    <w:p>
      <w:r>
        <w:t>- 7 - Gewährung des rechtlichen Gehörs betreffend die Anordnung einer Ausschaffungshaft vom 11. September 2023 äusserte sich der Gesuchsgegner dahingehend, dass er nicht bereit sei, die Schweiz freiwillig in Richtung Irak zu verlassen (MI-act. 167 ff., 199 ff., 389 ff., 441 ff.). In der konstanten Weigerung, der Ausreisepflicht nachzukommen, ist ein klares Anzeichen dafür zu erkennen, dass sich der Gesuchgegner der Ausschaffung entziehen will. Daran ändert – entgegen der Auffassung des Rechtsvertreters des Gesuchsgegners – auch nichts, dass sich der Gesuchsgegner stets an seiner Adresse aufgehalten habe und für die Behörden somit auffindbar gewesen sei. Abgesehen davon, dass der Gesuchsgegner bereits früher unbekannten Aufenthalts war, ist aufgrund der Weigerung, auszureisen, davon auszugehen, dass sich der Gesuchsgegner allenfalls bis zum Vorliegen des Flugtickets in der zugewiesenen Unterkunft aufhalten würde, jedoch untertauchen würde, sobald ihm die Flugdaten bekannt wären. Ferner hat sich der Gesuchsgegner trotz den entsprechenden Aufforderungen des MIKA und des SEM (MI-act. 153, 155) nicht darum bemüht, selbständig Reisepapiere zu beschaffen, sondern hat die Papierbeschaffung gänzlich den Behörden überlassen. Damit ist er seinen Mitwirkungspflichten nicht nachgekommen und hat sich behördlichen Anordnungen widersetzt. Insgesamt setzte der Gesuchsgegner damit klare Anzeichen für eine Untertauchensgefahr, und es ist nicht davon auszugehen, dass er nach einer Entlassung aus der Ausschaffungshaft die Schweiz selbständig in Richtung Irak verlassen würde. Damit ist der Haftgrund von Art. 76 Abs. 1 lit. b Ziff. 3 und 4 AIG erfüllt.</w:t>
      </w:r>
    </w:p>
    <w:p>
      <w:r>
        <w:rPr>
          <w:b/>
        </w:rPr>
        <w:t>E. 3.3</w:t>
      </w:r>
    </w:p>
    <w:p>
      <w:r>
        <w:t>Nachdem ein Haftgrund vorliegt, kann offenbleiben, ob auch der Haftgrund von Art. 76 Abs. 1 lit. b Ziff. 1 AIG i.V.m. Art. 75 Abs. 1 lit. b AIG erfüllt ist. 4. Bezüglich der Haftbedingungen liegen keine Beanstandungen vor. (Protokoll S. 2 ff., act. 37 ff.). Der Rechtsvertreter des Gesuchsgegners äusserte sich anlässlich der heutigen Verhandlung hinsichtlich der Hafterstehungsfähigkeit des Gesuchsgegners dahingehend, dass die eingereichten medizinischen Unterlagen lediglich eine Momentaufnahme zeigen würden. Der Gesuchsgegner leide an einer chronischen Dickdarmkrankheit, welche im Auge behalten werden müsse (Protokoll S. 6, act. 45). Hierzu ist festzuhalten, dass die seitens des Verwaltungsgerichts angeordnete medizinische Abklärung der Hafterstehungsfähigkeit ergeben hat, dass der Gesuchsgegner hafterstehungsfähig ist (act. 16 ff.). Sollte sich der</w:t>
      </w:r>
    </w:p>
    <w:p>
      <w:r>
        <w:t>- 8 - Gesundheitszustand des Gesuchsgegners verschlechtern, ist es an der Vollzugsbehörde die Hafterstehungsfähigkeit abermals abzuklären. Weiter ist festzuhalten, dass es dem Gesuchsgegner während seiner Inhaftierung jederzeit zusteht, eine Untersuchung durch eine ärztliche Fachperson zu verlangen und notwendige Medikamente zu erhalten. 5. 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Insbesondere erscheint weder die Anordnung einer Meldepflicht noch eine Eingrenzung zielführend, wäre es ihm diesfalls doch ohne weiteres möglich, sich den Behörden bis zum Ausreisezeitpunkt zur Verfügung zu halten und trotzdem unterzutauchen, sobald der Rückflug anzutreten wäre. Bezüglich der familiären Verhältnisse ergeben sich keine Anhaltspunkte, welche gegen eine Haftanordnung sprechen würden.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w:t>
      </w:r>
    </w:p>
    <w:p>
      <w:r>
        <w:t>- 9 -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