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WPR.2023.72 vom 11. August 2023</w:t>
      </w:r>
    </w:p>
    <w:p>
      <w:r>
        <w:t>AG Verwaltungsgericht, 2023-08-11, DE</w:t>
      </w:r>
    </w:p>
    <w:p>
      <w:r>
        <w:rPr>
          <w:b/>
        </w:rPr>
        <w:t xml:space="preserve">Quelle: </w:t>
      </w:r>
      <w:r>
        <w:t>https://mcp.opencaselaw.ch/entscheid/ag_verwaltungsgericht_WPR.2023.72</w:t>
      </w:r>
    </w:p>
    <w:p>
      <w:r>
        <w:t>FR: AG_VERWALTUNGSGERICHT WPR.2023.72 du 11 août 2023</w:t>
      </w:r>
    </w:p>
    <w:p>
      <w:r>
        <w:t>IT: AG_VERWALTUNGSGERICHT WPR.2023.72 del 11 agosto 2023</w:t>
      </w:r>
    </w:p>
    <w:p>
      <w:pPr>
        <w:pStyle w:val="Heading2"/>
      </w:pPr>
      <w:r>
        <w:t>Erwägungen</w:t>
      </w:r>
    </w:p>
    <w:p>
      <w:r>
        <w:rPr>
          <w:b/>
        </w:rPr>
        <w:t>E. 2</w:t>
      </w:r>
    </w:p>
    <w:p>
      <w:r>
        <w:t>Die Haft begann am 9. August 2023, 07.30 Uhr. Sie wird in Anwendung von Art. 76 AIG für drei Monate bis zum 8. November 2023,12.00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21. Januar 2021 trat das SEM auf das Asylgesuch des Gesuchsgegners nicht ein und wies ihn aus der Schweiz weg (MI- act. 86 ff.). Dieser Entscheid erwuchs am 29. Januar 2021 unangefochten in Rechtskraft (MI-act. 94 f.). Damit liegt ein vollstreckbarer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Die sprechen (richtig: Sprechende) sei als amtliche Vertreterin für das vorliegende Verfahren zu bestellen und zu entschädigen.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w:t>
      </w:r>
    </w:p>
    <w:p>
      <w:r>
        <w:t>- 6 -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hat sich anlässlich des Ausreisegesprächs vom 16. Februar 2021 sowie anlässlich der Gewährung des rechtlichen Gehörs betreffend die Anordnung einer Ausschaffungshaft vom 9. August 2023 dahingehend geäussert, er sei nicht bereit nach Marokko zurückzukehren (MI-act. 136, 200 f.). Nach der Rechtsprechung des Bundesgerichts ist darin grundsätzlich ein Anzeichen für das Vorliegen einer Untertauchensgefahr zu sehen (BGE 140 II 1, Erw. 5.3). Anlässlich der heutigen Verhandlung erklärte sich der Gesuchsgegner nun jedoch erstmals bereit, die Schweiz in Richtung Marokko zu verlassen, unter der Bedingung, dass ihm die Bestätigung der marokkanischen Behörde ausgehändigt werde, in welcher er als marokkanischer Staatsangehöriger anerkannt worden sei (Protokoll S. 2 f., act. 14 f.). Nachdem er bis zu seiner Festnahme am 9. August 2023 nicht über diese Anerkennung informiert war und er nicht wusste, dass nun die Möglichkeit besteht, ihn auszuschaffen, erscheint dieser Sinneswandel hinsichtlich der Ausreise plausibel und nicht als blosse Schutzbehauptung. Auch wenn sich erst weisen muss, ob der Gesuchsgegner nun tatsächlich zur Rückkehr nach Marokko bereit ist, ist es vor diesem Hintergrund unzulässig, einzig aus seinen früheren entgegengesetzten Aussagen auf das Vorliegen einer Untertauchensgefahr zu schliessen. Nichts anderes ergibt die Beurteilung des übrigen bisherigen Verhaltens des Gesuchsgegners. Insbesondere spricht der Umstand, dass er sich – soweit ersichtlich – bisher stets an der ihm zugewiesenen Unterkunft aufgehalten hat – dies auch nachdem ihm der Einsatz von polizeilichen Zwangsmittel beim Vollzug der Wegweisung angedroht worden war (MI-</w:t>
      </w:r>
    </w:p>
    <w:p>
      <w:r>
        <w:t>- 7 - act. 137) –, gegen das Vorliegen einer Untertauchensgefahr (vgl. Urteil des Bundesgerichts 2C_478/2012 vom 14. Juni 2012, Erw. 2.2). Zudem hat der Gesuchsgegner – soweit ersichtlich – der gegen ihn verfügten Eingrenzung auf das Gebiet des Kantons Aargau Folge geleistet und ist in der Vergangenheit mehrfach auf Vorladung zu Rückkehrberatungsgesprächen beim MIKA erschienen. Insgesamt ist daher festzuhalten, dass nicht genügend Anzeichen für das Vorliegen einer Untertauchensgefahr bestehen und mithin der Haftgrund von Art. 76 Abs. 1 lit. b Ziff. 3 und 4 AG nicht erfüllt ist.</w:t>
      </w:r>
    </w:p>
    <w:p>
      <w:r>
        <w:rPr>
          <w:b/>
        </w:rPr>
        <w:t>E. 3.3</w:t>
      </w:r>
    </w:p>
    <w:p>
      <w:r>
        <w:t>Nach dem Gesagten steht fest, dass der Haftgrund des Untertauchens gemäss Art. 76 Abs. 1 lit. b Ziff. 3 und 4 AG nicht erfüllt ist. Da auch kein weiterer Haftgrund ersichtlich ist, erübrigt sich auf die weiteren Voraussetzungen der Ausschaffungshaft einzugehen. Die angeordnete Ausschaffungshaft ist demzufolge nicht zu bestätigen und der Gesuchsgegner unverzüglich aus der Haft zu entlassen. III.</w:t>
      </w:r>
    </w:p>
    <w:p>
      <w:r>
        <w:rPr>
          <w:b/>
        </w:rPr>
        <w:t>E. 4</w:t>
      </w:r>
    </w:p>
    <w:p>
      <w:r>
        <w:t>Unter Kosten- und Entschädigungsfolgen zu Lasten des Staates.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EGAR). Die Haftüberprüfungsfrist beginnt mit der ausländerrechtlich motivierten Anhaltung der betroffenen Person zu laufen (vgl. BGE 127 II 174, Erw. 2. b/aa). 2. Im vorliegenden Fall wurde der Gesuchsgegner auf Anordnung des MIKA am 9. August 2023, 07.30 Uhr, angehalten. Die mündliche Verhandlung begann am 11. August 2023, 09.10 Uhr; das Urteil wurde um 09.45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w:t>
      </w:r>
    </w:p>
    <w:p>
      <w:r>
        <w:t>- 5 -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