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WPR.2023.69 vom 4. August 2023</w:t>
      </w:r>
    </w:p>
    <w:p>
      <w:r>
        <w:t>AG Verwaltungsgericht, 2023-08-04, DE</w:t>
      </w:r>
    </w:p>
    <w:p>
      <w:r>
        <w:rPr>
          <w:b/>
        </w:rPr>
        <w:t xml:space="preserve">Quelle: </w:t>
      </w:r>
      <w:r>
        <w:t>https://mcp.opencaselaw.ch/entscheid/ag_verwaltungsgericht_WPR.2023.69</w:t>
      </w:r>
    </w:p>
    <w:p>
      <w:r>
        <w:t>FR: AG_VERWALTUNGSGERICHT WPR.2023.69 du 4 août 2023</w:t>
      </w:r>
    </w:p>
    <w:p>
      <w:r>
        <w:t>IT: AG_VERWALTUNGSGERICHT WPR.2023.69 del 4 agosto 2023</w:t>
      </w:r>
    </w:p>
    <w:p>
      <w:pPr>
        <w:pStyle w:val="Heading2"/>
      </w:pPr>
      <w:r>
        <w:t>Erwägungen</w:t>
      </w:r>
    </w:p>
    <w:p>
      <w:r>
        <w:rPr>
          <w:b/>
        </w:rPr>
        <w:t>E. 2</w:t>
      </w:r>
    </w:p>
    <w:p>
      <w:r>
        <w:t>Die Haft begann am 1. August 2023, 15.58 Uhr. Sie wird in Anwendung von Art. 76 AIG für drei Monate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2. August 2023 unter Anordnung der sofortigen Vollstreckbarkeit aus der Schweiz und dem Schengen-Raum weggewiesen (MI-act. 40 ff.). Diese Verfügung wurde dem Gesuchsgegner gleichentags um 15.02 Uhr eröffnet (MI-act. 43),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sich im Verlaufe der heutigen Verhandlung herausgestellt hat, dass sich die Identitätskarte wohl bei der Familie des Gesuchsgegners im Kosovo befindet und der Vater diese in die Schweiz schickt, sobald sie gefunden wurde (Protokoll S. 3, act. 31). Sobald diese beim MIKA angekommen sei, könne sofort ein unbegleiteter Flug in den Kosovo gebucht werden (Protokoll S. 3, act. 31).</w:t>
      </w:r>
    </w:p>
    <w:p>
      <w:r>
        <w:t>- 5 - 3.</w:t>
      </w:r>
    </w:p>
    <w:p>
      <w:r>
        <w:rPr>
          <w:b/>
        </w:rPr>
        <w:t>E. 3</w:t>
      </w:r>
    </w:p>
    <w:p>
      <w:r>
        <w:t>Rechtsanwältin Tamara De Caro, substituiert durch die Sprechende, sei als amtliche Vertreterin für das vorliegende Verfahren zu bestellen und zu entschädigen.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wies sich anlässlich der Verkehrskontrolle gegenüber der Kantonspolizei Aargau mit einer gefälschten slowenischen Identitätskarte sowie einem gefälschten slowenischen Führerausweis aus (MI-act. 6). Wer eine falsche Identität oder einen gefälschten Ausweis verwendet, bietet gemäss ständiger Praxis des Verwaltungsgerichts wie auch des Bundesgerichts keine Gewähr für eine selbstständige Ausreise (vgl. Entscheid des Verwaltungsgerichts WPR.2016.49 vom 21. März 2016, Erw. 3.2 sowie BGE 122 II 49, Erw. 2a). In diesen Fällen ist die Untertauchensgefahr dementsprechend regelmässig zu bejahen.</w:t>
      </w:r>
    </w:p>
    <w:p>
      <w:r>
        <w:t>- 6 - Wenn die Rechtsvertreterin des Gesuchsgegners vorbringt, er habe mit dem gefälschten Ausweis keine Behörden täuschen wollen, kann ihr nicht gefolgt werden. So hat der Gesuchsgegner im Rahmen der heutigen Verhandlung selbst zugegeben, die slowenischen Dokumente erstanden zu haben, damit er ohne Visum in Europa reisen könne (Protokoll S. 3, act. 31). Somit hat er absichtlich seine kosovarische Nationalität verschleiert und es kann ohne Weiteres von einer Täuschungsabsicht ausgegangen werden. Weiter kann der Gesuchsgegner nichts davon ableiten, wenn er sagt, er habe nicht gewusst, dass es sich bei den slowenischen Ausweisen um Fälschungen handle. So führte er im Rahmen der heutigen Verhandlung aus, dass sein echter kosovarischer Führerschein nach bestandener Prüfung durch das Strassenverkehrsamt ausgestellt wurde (Protokoll S. 3, act. 31). Somit musste dem Gesuchsgegner klar sein, dass er durch das Bezahlen einer hohen Gebühr keine legalen slowenischen Ausweise erwerben kann und er durfte dementsprechend nicht davon ausgehen, dass die slowenischen Ausweise echt seien. Der Gesuchsgegner äusserte sich zwar anlässlich der Gewährung des rechtlichen Gehörs betreffend die Anordnung einer Ausschaffungshaft gegenüber dem MIKA und im Rahmen der heutigen Verhandlung dahingehend, dass er bereit sei, die Schweiz in Richtung Kosovo zu verlassen (MI-act. 45; Protokoll S. 3, act. 31). Angesichts seines bisherigen Verhaltens, insbesondere angesichts der Verwendung gefälschter Ausweise, erscheint die geäusserte Bereitschaft zur freiwilligen Ausreise – entgegen der Auffassung der Rechtsvertreterin des Gesuchsgegners – indes als blosse Schutzbehauptung, um die drohende Ausschaffungshaft abzuwenden und ist als unglaubhaft zu qualifizieren. Unter diesen Umständen steht fest, dass der Gesuchsgegner mit seinem bisherigen Verhalten klare Anzeichen für eine Untertauchensgefahr gesetzt hat, und es ist nicht davon auszugehen, dass er nach einer Entlassung aus der Ausschaffungshaft die Schweiz freiwillig in Richtung Kosovo verlassen würde. Damit ist auch der Haftgrund von Art. 76 Abs. 1 lit. b Ziff. 3 und 4 AIG erfüllt.</w:t>
      </w:r>
    </w:p>
    <w:p>
      <w:r>
        <w:rPr>
          <w:b/>
        </w:rPr>
        <w:t>E. 4</w:t>
      </w:r>
    </w:p>
    <w:p>
      <w:r>
        <w:t>Bezüglich der Haftbedingungen liegen keine Beanstandungen vor (Protokoll S. 3, act. 31).</w:t>
      </w:r>
    </w:p>
    <w:p>
      <w:r>
        <w:rPr>
          <w:b/>
        </w:rPr>
        <w:t>E. 5</w:t>
      </w:r>
    </w:p>
    <w:p>
      <w:r>
        <w:t>Es liegen auch keine Anzeichen dafür vor, dass das MIKA dem Beschleunigungsgebot (Art. 76 Abs. 4 AIG) nicht ausreichend Beachtung geschenkt hätte.</w:t>
      </w:r>
    </w:p>
    <w:p>
      <w:r>
        <w:t>- 7 -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der Wegweisung ist – entgegen der Auffassung der Rechtsvertreterin des Gesuchsgegners – nicht ersichtlich. Wie gesehen bietet der Gesuchsgegner mit seinem Verhalten keinerlei Gewähr für eine ordnungsgemässe Ausreise in sein Heimatland, weshalb ein Aufenthalt in der Wohnung des Bruders des Gesuchsgegners in Verbindung mit einer Meldepflicht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Die Vertreterin des Gesuchsgegners wird aufgefordert, nach Haftentlassung des Gesuchsgegners ihre Kostennote einzureichen. IV. 1. Der Gesuchsgegner wird darauf hingewiesen, dass ein Haftentlassungsgesuch frühestens einen Monat nach Haftüberprüfung</w:t>
      </w:r>
    </w:p>
    <w:p>
      <w:r>
        <w:t>- 8 -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