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WPR.2023.68 vom 4. August 2023</w:t>
      </w:r>
    </w:p>
    <w:p>
      <w:r>
        <w:t>AG Verwaltungsgericht, 2023-08-04, DE</w:t>
      </w:r>
    </w:p>
    <w:p>
      <w:r>
        <w:rPr>
          <w:b/>
        </w:rPr>
        <w:t xml:space="preserve">Quelle: </w:t>
      </w:r>
      <w:r>
        <w:t>https://mcp.opencaselaw.ch/entscheid/ag_verwaltungsgericht_WPR.2023.68</w:t>
      </w:r>
    </w:p>
    <w:p>
      <w:r>
        <w:t>FR: AG_VERWALTUNGSGERICHT WPR.2023.68 du 4 août 2023</w:t>
      </w:r>
    </w:p>
    <w:p>
      <w:r>
        <w:t>IT: AG_VERWALTUNGSGERICHT WPR.2023.68 del 4 agosto 2023</w:t>
      </w:r>
    </w:p>
    <w:p>
      <w:pPr>
        <w:pStyle w:val="Heading2"/>
      </w:pPr>
      <w:r>
        <w:t>Erwägungen</w:t>
      </w:r>
    </w:p>
    <w:p>
      <w:r>
        <w:rPr>
          <w:b/>
        </w:rPr>
        <w:t>E. 2</w:t>
      </w:r>
    </w:p>
    <w:p>
      <w:r>
        <w:t>Die Haft begann am 1. August 2023, 09.40 Uhr. Sie wird in Anwendung von Art. 76 AIG für drei Monate bis zum 31. Oktober 2023, 12.00 Uhr, angeordnet.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2. August 2023 unter Anordnung der sofortigen Vollstreckbarkeit aus der Schweiz weggewiesen (MI-act. 194 ff.). Diese Verfügung wurde dem Gesuchsgegner gleichentags eröffnet (MI-act. 197),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Soweit der Rechtsvertreter des Gesuchsgegners geltend macht, seine Rückführung nach Sri Lanka sei aufgrund des Non-Refoulement-Gebots nicht möglich, kann ihm nicht gefolgt werden. Nachdem das SEM nicht auf sein Wiedererwägungsgesuch vom 26. Januar 2022 eintrat, weil er weiterhin über keine Flüchtlingseigenschaft verfügt, kann davon ausgegangen werden, dass der Gesuchsgegner keinen Schutz in der Schweiz benötigt. Das SEM hielt weiter fest, es seien keine Anhaltspunkte erkennbar, dass ihm im Falle einer Rückkehr nach Sri Lanka mit beachtlicher Wahrscheinlichkeit eine durch Art. 3 der Konvention zum Schutze der Menschenrechte und Grundfreiheiten vom 4. November 1950 (EMRK; SR 0.101) verbotenen Strafe oder Behandlung drohe (MI- act. 131 ff.). Eine Verletzung des Non-Refoulement-Gebots kann mangels konkreter Hinweise auf eine persönliche, gezielte Gefährdung des Gesuchsgegners bei einer Rückkehr nach Sri Lanka auch heute nicht erkannt werden, sodass sich der Gesuchsgegner derzeit nicht erfolgreich auf das Non-Refoulement-Gebot berufen kann. Das MIKA wird im Vollzugszeitpunkt erneut zu prüfen haben, ob Vollzugshindernisse bestehen. Der Rechtsvertreter des Gesuchsgegners weist auf aktenkundige psychische Probleme des Gesuchsgegners hin. Dabei ist festzuhalten, dass sich der Gesuchsgegner im Rahmen der heutigen Verhandlung dahingehend geäussert hat, dass er Herzprobleme habe (Protokoll S. 2, act. 30). Darüber hinaus erwähnte er keine akuten psychischen Probleme. Weiter bestätigt der Vertreter des Gesuchstellers auf Nachfrage, dass die momentane psychische Situation des Gesuchsgegners einen allfälligen Flug nicht beeinträchtigen würde (Protokoll S. 3, act. 31). Somit ist davon auszugehen, dass der Gesuchsgegner reisefähig ist.</w:t>
      </w:r>
    </w:p>
    <w:p>
      <w:r>
        <w:t>- 6 - Weitere Anzeichen, die an der Ausschaffungsmöglichkeit in rechtlicher oder tatsächlicher Hinsicht Zweifel aufkommen lassen würden, sind ebenfalls keine ersichtlich. Dies umso weniger, als die sri-lankischen Behörden den Gesuchsgegner als sri-lankischen Staatsangehörigen anerkannt haben (MI-act. 156). Zusätzlich konnte bereits einmal ein Flug nach Sri Lanka gebucht werden (MI-act. 153 ff.).</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3, act. 31).</w:t>
      </w:r>
    </w:p>
    <w:p>
      <w:r>
        <w:t>- 4 - Der Gesuchsgegner liess folgende Anträge stellen (Protokoll S. 3, act. 31): 1. Die angeordnete Ausschaffungshaft sei nicht zu bestätigen. Der Gesuchsgegner sei aus der Haft zu entlassen. 2. 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AIG,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 August 2023, 10.00 Uhr, angehalten. Die mündliche Verhandlung begann am 4. August 2023, 09.00 Uhr; das Urteil wurde um 09.35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gegen den ein erstinstanzlicher Wegweisungsentscheid vorliegt, hätte die Schweiz per sofort verlassen müssen (MI-act. 194 ff.). Anlässlich eines Ausreisegesprächs vom</w:t>
      </w:r>
    </w:p>
    <w:p>
      <w:r>
        <w:t>- 7 -</w:t>
      </w:r>
    </w:p>
    <w:p>
      <w:r>
        <w:rPr>
          <w:b/>
        </w:rPr>
        <w:t>E. 5</w:t>
      </w:r>
    </w:p>
    <w:p>
      <w:r>
        <w:t>Es liegen auch keine Anzeichen dafür vor, dass das MIKA dem Beschleunigungsgebot (Art. 76 Abs. 4 AIG) nicht ausreichend Beachtung geschenkt hätte.</w:t>
      </w:r>
    </w:p>
    <w:p>
      <w:r>
        <w:t>- 8 -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geltend, er leide an Herzproblemen und an Schlafstörungen. (Protokoll S. 2, act. 30). Dem Gesuchsgegner seien wegen seiner Herzprobleme Medikamente verschrieben worden. (Protokoll S. 2, act. 30). Hierzu ist festzuhalten, dass es dem Gesuchsgegner während seiner Inhaftierung jederzeit zusteht, eine Untersuchung durch eine ärztliche Fachperson zu verlangen und notwendige Medikamente zu erhalten. Darüber hinaus macht der Gesuchsgegner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w:t>
      </w:r>
    </w:p>
    <w:p>
      <w:r>
        <w:t>- 9 -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