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WPR.2023.64 vom 27. Juli 2023</w:t>
      </w:r>
    </w:p>
    <w:p>
      <w:r>
        <w:t>AG Verwaltungsgericht, 2023-07-27, DE</w:t>
      </w:r>
    </w:p>
    <w:p>
      <w:r>
        <w:rPr>
          <w:b/>
        </w:rPr>
        <w:t xml:space="preserve">Quelle: </w:t>
      </w:r>
      <w:r>
        <w:t>https://mcp.opencaselaw.ch/entscheid/ag_verwaltungsgericht_WPR.2023.64</w:t>
      </w:r>
    </w:p>
    <w:p>
      <w:r>
        <w:t>FR: AG_VERWALTUNGSGERICHT WPR.2023.64 du 27 juillet 2023</w:t>
      </w:r>
    </w:p>
    <w:p>
      <w:r>
        <w:t>IT: AG_VERWALTUNGSGERICHT WPR.2023.64 del 27 luglio 2023</w:t>
      </w:r>
    </w:p>
    <w:p>
      <w:pPr>
        <w:pStyle w:val="Heading2"/>
      </w:pPr>
      <w:r>
        <w:t>Erwägungen</w:t>
      </w:r>
    </w:p>
    <w:p>
      <w:r>
        <w:rPr>
          <w:b/>
        </w:rPr>
        <w:t>E. 2</w:t>
      </w:r>
    </w:p>
    <w:p>
      <w:r>
        <w:t>Die Haft begann am 24. Juli 2023, 15.05 Uhr. Sie wird in Anwendung von Art. 76 AIG für drei Monate bis zum 23. Oktober 2023, 12.00 Uhr, ange- ordnet.</w:t>
      </w:r>
    </w:p>
    <w:p>
      <w:r>
        <w:rPr>
          <w:b/>
        </w:rPr>
        <w:t>E. 2.1</w:t>
      </w:r>
    </w:p>
    <w:p>
      <w:r>
        <w:t>Das MIKA begründet seine Haftanordnung damit, dass es den Gesuchs- gegner aus der Schweiz ausschaffen und mit der Haft den Vollzug sicher- stellen wolle. Der Haftzweck ist damit erstellt.</w:t>
      </w:r>
    </w:p>
    <w:p>
      <w:r>
        <w:t>- 6 -</w:t>
      </w:r>
    </w:p>
    <w:p>
      <w:r>
        <w:rPr>
          <w:b/>
        </w:rPr>
        <w:t>E. 2.2.1</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rPr>
          <w:b/>
        </w:rPr>
        <w:t>E. 2.2.2</w:t>
      </w:r>
    </w:p>
    <w:p>
      <w:r>
        <w:t>Mit Ziffer 3 der Verfügung vom 18. März 2023 hat das SEM gegen den Ge- suchsgegner eine Wegweisung aus der Schweiz verfügt (vgl. oben, Sach- verhalt A.).</w:t>
      </w:r>
    </w:p>
    <w:p>
      <w:r>
        <w:rPr>
          <w:b/>
        </w:rPr>
        <w:t>E. 2.2.3</w:t>
      </w:r>
    </w:p>
    <w:p>
      <w:r>
        <w:t>Anlässlich der heutigen Verhandlung gab der Gesuchsgegner zu Protokoll, er habe die Schweiz am 13. oder 14. Februar 2023 verlassen und sei nach Italien gereist um dort an einer Gerichtsverhandlung teilzunehmen (Proto- koll S. 3, act. 15). Auf detaillierte Befragung legte er dar, er sei mit dem Zug von der Schweiz nach Italien ausgereist und sei dabei nicht kontrolliert wor- den. Aufgrund der Ausführungen des Gesuchsgegners, sowie aufgrund ei- nes anlässlich der heutigen Verhandlung eingereichten Urteils des ordentli- chen Gerichts von L'Aquila vom 17. April 2023 (act. 49 ff.), ist davon aus- zugehen, dass sich der Gesuchsgegner im Februar 2023 effektiv in Italien aufgehalten hat. Dies wird seitens des Gesuchstellers auch nicht bestritten. Entgegen der Auffassung des Rechtsvertreters des Gesuchstellers ist der Wegweisungsentscheid des SEM durch dessen Ausreise nach Italien nicht konsumiert. Die Ausreise des Gesuchsgegners aus der Schweiz erfolgte gemäss eigenen Angaben einzig zwecks Teilnahme an einer Gerichtsver- handlung in Italien und eben gerade nicht, um dem Wegweisungsentscheid des SEM Folge zu leisten. Somit liegt mit Entscheid des SEM vom 18. März 2021 ein rechtsgenüglicher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Dies umso weniger, als der Gesuchsgegner von den zentralen Behör- den in Dakar als Staatsangehöriger von Senegal anerkannt wurde (MI-act. 318). Zudem hat das MIKA den Gesuchsgegner bereits für einen Flug nach Senegal angemeldet, welcher auf den 17. August 2023 bestätigt wurde (act. 25 ff.). Sodann gab das MIKA anlässlich der heutigen Verhand-</w:t>
      </w:r>
    </w:p>
    <w:p>
      <w:r>
        <w:t>- 7 - lung an, es werde ein Ersatzreisedokument für den Gesuchsgegner aus- gestellt (Protokoll S. 4, act. 16). Nach dem Gesagten stehen dem Vollzug der Wegweisung zum heutigen Zeitpunkt keine Hindernisse entgegen. An dieser Beurteilung ändert insbesondere auch die anlässlich der Ver- handlung vor dem Einzelrichter eingereichte Kopie des Urteils eines italie- nischen Gerichts nichts. Gemäss Angaben des Gesuchsgegners soll sich aus diesem Urteil ergeben, dass er in Italien als Flüchtling anerkannt wor- den sei und über ein Aufenthaltsrecht verfüge. Solange die Authentizität des nicht unterzeichneten Dokuments nicht erstellt ist und (mangels Vorlie- gens einer verlässlichen Übersetzung) keine Klarheit über dessen Inhalt herrscht, kann (noch) nicht davon ausgegangen werden, dass der Ge- suchsgegner über ein Aufenthaltsrecht in Italien verfügt. Einer Weiterver- folgung seiner Ausschaffung nach Senegal und auch der zu diesem Zweck angeordneten Ausschaffungshaft steht daher – zurzeit –nichts entgegen. Sollte sich indessen herausstellen, dass der Gesuchsgegner tatsächlich über ein Aufenthaltsrecht in Italien verfügt, gibt sein bisheriges Verhalten keinen Anlass, ihn bis zu seiner Ausreise nach Italien weiterhin in Haft zu behalten. Die Haft wäre in diesem Fall infolge Wegfalls eines Haftgrunds unmittelbar zu beenden (Art. 80 Abs. 6 lit. a AIG). 3.</w:t>
      </w:r>
    </w:p>
    <w:p>
      <w:r>
        <w:rPr>
          <w:b/>
        </w:rPr>
        <w:t>E. 3</w:t>
      </w:r>
    </w:p>
    <w:p>
      <w:r>
        <w:t>Die Verfahrens- und Vollzugskosten seien auf die Staatskasse zu nehmen.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w:t>
      </w:r>
    </w:p>
    <w:p>
      <w:r>
        <w:t>- 8 -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MARC SPESCHA/ANDREAS ZÜND/PETER BOLZLI/ CONSTANTIN HRUSCHKA/FANNY DE WECK [Hrsg.], Kommentar Migrations- recht, 5. Aufl., Zürich 2019, N. 7 zu Art. 76 AIG und TARKAN GÖKSU, in: MARTINA CARONI/THOMAS GÄCHTER/DANIELA THURNHERR [Hrsg.], Stämpflis Handkommentar zum Bundesgesetz über die Ausländerinnen und Aus- länder [AuG], Bern 2010, N. 11 zu Art. 76).</w:t>
      </w:r>
    </w:p>
    <w:p>
      <w:r>
        <w:rPr>
          <w:b/>
        </w:rPr>
        <w:t>E. 3.2</w:t>
      </w:r>
    </w:p>
    <w:p>
      <w:r>
        <w:t>Der Gesuchsgegner äusserte sich wiederholt, zuletzt anlässlich der heuti- gen Verhandlung, dahingehend, er sei nicht bereit die Schweiz in Richtung Senegal zu verlassen (MI-act. 153 ff., 184, 201, 339 ff.; Protokoll S. 3, act. 15). Angesichts seines bisherigen Verhaltens, insbesondere der Tat- sache, dass er sich mehrfach weigerte, seiner Ausreisepflicht nachzukom- men, sind klare Anzeichen dafür zu erkennen, dass sich der Gesuchsgeg- ner einer Ausschaffung entziehen will. Ferner hat sich der Gesuchsgegner trotz entsprechenden Aufforderungen des SEM und des MIKA (MI-act. 150 f., 153 ff.) nicht darum bemüht, selb- ständig Reisepapiere zu beschaffen, sondern hat die Papierbeschaffung gänzlich den Behörden überlassen. Damit ist er auch seinen Mitwirkungs- pflichten nicht nachgekommen und hat sich behördlichen Anordnungen wi- dersetzt. 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Senegal verlassen würde. Damit ist der Haftgrund von Art. 76 Abs. 1 lit. b Ziff. 3 und 4 AIG erfüllt.</w:t>
      </w:r>
    </w:p>
    <w:p>
      <w:r>
        <w:rPr>
          <w:b/>
        </w:rPr>
        <w:t>E. 4</w:t>
      </w:r>
    </w:p>
    <w:p>
      <w:r>
        <w:t>Bezüglich der Haftbedingungen liegen keine Beanstandungen vor, die geeignet wären, die Haft als unverhältnismässig zu bezeichnen (Protokoll S. 4, act. 16).</w:t>
      </w:r>
    </w:p>
    <w:p>
      <w:r>
        <w:rPr>
          <w:b/>
        </w:rPr>
        <w:t>E. 5</w:t>
      </w:r>
    </w:p>
    <w:p>
      <w:r>
        <w:t>Es liegen auch keine Anzeichen dafür vor, dass das MIKA dem Beschleu- nigungsgebot (Art. 76 Abs. 4 AIG) nicht ausreichend Beachtung geschenkt hätte.</w:t>
      </w:r>
    </w:p>
    <w:p>
      <w:r>
        <w:t>- 9 -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Dass die Ausschaffungshaft geeignet ist, den Vollzug der Wegweisung si- cherzustellen, liegt auf der Hand und bedarf keinen weiteren Ausführungen. Gleiches gilt mit Blick auf die Notwendigkeit der Anordnung einer Ausschaf- fungshaft. Eine mildere Massnahme zur Sicherstellung des Vollzugs der Wegweisung ist vorliegend überdies ohnehin nicht ersichtlich. Entgegen der Vorbringen des Rechtsvertreters des Gesuchsgegners (act. 23) reicht eine Eingren- zung auf das Gebiet des Kantons Aargau und eine Meldepflicht nicht aus, da dadurch nicht sichergestellt werden kann, dass der Gesuchsgegner tat- sächlich ausreisen wird. Dies gilt umso mehr als der Gesuchsgegner sich mehrfach weigerte, die Schweiz zu verlassen. Hinzu kommt, dass der Ge- suchsgegner die Papierbeschaffung gänzlich den Behörden überlassen hat und erhebliche Zweifel bestehen, dass sich der Gesuchsgegner an eine Meldepflicht halten würde. Bezüglich der familiären Verhältnisse ergeben sich keine Anhaltspunkte, welche gegen eine Haftanordnung sprechen würden. Entgegen der Auffas- sung des Rechtsvertreters des Gesuchsgegners ist dieser zudem haft- 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w:t>
      </w:r>
    </w:p>
    <w:p>
      <w:r>
        <w:t>- 10 -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