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WPR.2023.55 vom 12. Juli 2023</w:t>
      </w:r>
    </w:p>
    <w:p>
      <w:r>
        <w:t>AG Verwaltungsgericht, 2023-07-12, DE</w:t>
      </w:r>
    </w:p>
    <w:p>
      <w:r>
        <w:rPr>
          <w:b/>
        </w:rPr>
        <w:t xml:space="preserve">Quelle: </w:t>
      </w:r>
      <w:r>
        <w:t>https://mcp.opencaselaw.ch/entscheid/ag_verwaltungsgericht_WPR.2023.55</w:t>
      </w:r>
    </w:p>
    <w:p>
      <w:r>
        <w:t>FR: AG_VERWALTUNGSGERICHT WPR.2023.55 du 12 juillet 2023</w:t>
      </w:r>
    </w:p>
    <w:p>
      <w:r>
        <w:t>IT: AG_VERWALTUNGSGERICHT WPR.2023.55 del 12 luglio 2023</w:t>
      </w:r>
    </w:p>
    <w:p>
      <w:pPr>
        <w:pStyle w:val="Heading2"/>
      </w:pPr>
      <w:r>
        <w:t>Erwägungen</w:t>
      </w:r>
    </w:p>
    <w:p>
      <w:r>
        <w:rPr>
          <w:b/>
        </w:rPr>
        <w:t>E. 2</w:t>
      </w:r>
    </w:p>
    <w:p>
      <w:r>
        <w:t>Die Haft begann am 11. Juli 2023, 16.45 Uhr. Sie wird in Anwendung von Art. 76 AIG für drei Monate bis zum 11. Oktober 2023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25. August 2021 wurde der Gesuchsgegner durch das Bezirksgericht Lenzburg gestützt auf Art. 66a des Schweizerischen Strafgesetzbuchs vom 21. Dezember 1937 (StGB; SR 311.0) für sieben Jahre aus der Schweiz verwiesen (MI-act. 54 ff.). Das Urteil erwuchs in der Folge unangefochten in Rechtskraft (MI-act. 67). Damit liegt eine rechtsgenügliche Landesverweisung vor.</w:t>
      </w:r>
    </w:p>
    <w:p>
      <w:r>
        <w:t>- 6 -</w:t>
      </w:r>
    </w:p>
    <w:p>
      <w:r>
        <w:rPr>
          <w:b/>
        </w:rPr>
        <w:t>E. 2.3</w:t>
      </w:r>
    </w:p>
    <w:p>
      <w:r>
        <w:t>Gemäss Art. 80 Abs. 6 lit. a AIG ist die Haft zu beenden, wenn sich erweist, dass der Vollzug der Wegweisung aus rechtlichen oder tatsächlichen Gründen undurchführbar ist. Der Rechtsvertreter des Gesuchsgegners brachte sinngemäss vor, eine Wegweisung des Gesuchsgegners in den Kosovo sei undurchführbar, da dieser staatenlos, und eben gerade nicht kosovarischer Staatsangehöriger sei (Protokoll S. 3, act. 18). Dem kann nicht gefolgt werden. Der Rechtsvertreter des Gesuchsgegners reichte zwar anlässlich der heutigen Verhandlung ein Schreiben einer Rechtsanwältin vom 23. Juni 2023 ein. Diesem Schreiben wurde eine Stellungnahme eines Mitarbeiters des kosovarischen Konsulats in Zürich vom 21. Juni 2023 beigefügt, in welchem der Mitarbeiter ausführt, der Kosovo sei mittlerweile der Ansicht, der Gesuchsgegner sei nicht kosovarischer Staatsangehöriger, weshalb eine Rückübernahme verweigert werde (act. 28 ff.). Der Gesuchsgegner wurde jedoch bereits am 23. Februar 2018 vom kosovarischen Innenministerium als kosovarischer Staatsangehöriger anerkannt und es wurde einer Rückübernahme zugestimmt (MI-act. 101). Zudem wurde für den Gesuchsgegner am 1. April 2021 durch das EJPD ein unbeschränkt gültiges Ersatzreisedokument ausgestellt (MI-act. 102). Da die Stellungnahme eines Mitarbeiters des kosovarischen Konsulats weniger hoch zu gewichten ist, als die Zusage des kosovarischen Innenministeriums, ist vorliegend davon auszugehen, dass der Gesuchsgegner nach wie vor in den Kosovo ausgeschafft werden kann. Daran ändert nichts, dass die Ausschaffungsmöglichkeit aufgrund des Schreibens des Mitarbeiters des kosovarischen Konsulats wohl durch das MIKA bzw. das SEM nochmals zu überprüfen sein wird. Weitere Anzeichen, die an der Ausschaffungsmöglichkeit in rechtlicher oder tatsächlicher Hinsicht Zweifel aufkommen lassen würden, sind keine ersichtlich. Dies umso weniger, als der Gesuchsgegner bereits mehrmals für einen Flug, welcher am 29. Oktober 2021, 15. Dezember 2021 bzw. am 22. August 2022, hätte erfolgen sollen, angemeldet werden konnte (MI- act. 106 ff., 119 ff., 284 f.). Dass diese Flüge annulliert werden mussten, ist allein dem renitenten Verhalten des Gesuchsgegners sowie seiner gesundheitlichen Situation, geschuldet (MI-act. 114, 164, 297). Es zeigt jedoch, dass eine Ausschaffung des Gesuchsgegners in den Kosovo in tatsächlicher Hinsicht problemlos möglich ist. Der Gesuchsgegner gab auf Nachfrage zu Protokoll, es gehe ihm gut, und er machte keine gesundheitlichen Einschränkungen geltend, welche seine Reisefähigkeit einschränken würden (Protokoll S. 5, act. 20). Somit ist davon auszugehen, dass der Gesuchsgegner reisefähig ist.</w:t>
      </w:r>
    </w:p>
    <w:p>
      <w:r>
        <w:t>- 7 - Nach dem Gesagten stehen – entgegen der Auffassung des Rechtsvertreters des Gesuchsgegners – dem Vollzug der Wegweisung zum heutigen Zeitpunkt keine Hindernisse entgegen. 3.</w:t>
      </w:r>
    </w:p>
    <w:p>
      <w:r>
        <w:rPr>
          <w:b/>
        </w:rPr>
        <w:t>E. 3</w:t>
      </w:r>
    </w:p>
    <w:p>
      <w:r>
        <w:t>Subeventualtier sei als Ersatzmassnahme Herr A. die Auflage zu erteilen, sich im Asylzentrum Buchs den Behörden zur Verfügung zu halten.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äusserte sich wiederholt, zuletzt anlässlich der heutigen Verhandlung, dahingehend, er sei nicht bereit die Schweiz in Richtung Kosovo zu verlassen (MI-act. 90, 372; Protokoll S. 5, act. 20). Angesichts seines bisherigen Verhaltens, insbesondere aufgrund der Tatsache, dass der Gesuchsgegner während längerer Zeit als unbekannten Aufenthalts galt (MI-act. 304), und er sich mehrfach verbal</w:t>
      </w:r>
    </w:p>
    <w:p>
      <w:r>
        <w:t>- 8 - und physisch weigerte, seiner Ausreisepflicht nachzukommen, sind klare Anzeichen dafür zu erkennen, dass sich der Gesuchsgegner der Ausschaffung entziehen will. Ferner hat sich der Gesuchsgegner trotz den entsprechenden Aufforderungen des MIKA (MI-act. 81, 372) nicht darum bemüht, selbständig Reisepapiere zu beschaffen, sondern hat die Papierbeschaffung gänzlich den Behörden überlassen und sich mit der Behauptung begnügt, er sei Staatenlos. Dies, obschon seine Eltern und seine Geschwister über bosnische Identitätsdokumente verfügten bzw. verfügen. Damit ist er auch seinen Mitwirkungspflichten nicht nachgekommen und hat sich behördlichen Anordnungen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Kosovo verlassen würde. Damit ist der Haftgrund von Art. 76 Abs. 1 lit. b Ziff. 3 und 4 AIG erfüllt. Anzumerken bleibt, dass aufgrund der Staatsangehörigkeit der Eltern und der Geschwister des Gesuchsgegners eine bosnische Staatsangehörigkeit des Gesuchsgegners nicht ausgeschlossen werden kann, dieser sich aber im Falle einer Anerkennung durch Bosnien weigert, nach Bosnien auszureisen (Protokoll S. 5, act. 20).</w:t>
      </w:r>
    </w:p>
    <w:p>
      <w:r>
        <w:rPr>
          <w:b/>
        </w:rPr>
        <w:t>E. 4</w:t>
      </w:r>
    </w:p>
    <w:p>
      <w:r>
        <w:t>Bezüglich der Haftbedingungen liegen keine Beanstandungen vor, die geeignet wären, die Haft als unverhältnismässig zu bezeichnen.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Da der Gesuchsgegner jedoch bereits am 10. Juli 2023 aus der strafprozessualen Haft entlassen und migrationsrechtlich festgenommen wurde (MI-act. 346 ff.), endet die angeordnete Ausschaffungshaft bereits am 9. Oktober 2023, und nicht wie durch das MIKA verfügt, am 11. Oktober 2023. Der Korrektur des Beginns der Ausschaffungshaft hat das MIKA anlässlich der heutigen Verhandlung ausdrücklich zugestimmt (Protokoll S. 5, act. 20).</w:t>
      </w:r>
    </w:p>
    <w:p>
      <w:r>
        <w:t>- 9 -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Landesverweisung sicherzustellen, liegt auf der Hand und bedarf keinen weiteren Ausführungen. Gleiches gilt mit Blick auf die Notwendigkeit der Anordnung einer Ausschaffungshaft. Eine mildere Massnahme zur Sicherstellung des Vollzugs der Landesverweisung ist vorliegend überdies ohnehin nicht ersichtlich. Entgegen der Vorbringen des Rechtsvertreters des Gesuchsgegners (Protokoll S. 6, act. 21) reicht eine Meldepflicht nicht aus, da dadurch nicht sichergestellt werden kann, dass der Gesuchsgegner tatsächlich ausreisen wird. Dies gilt umso mehr als der Gesuchsgegner sich mehrfach weigerte, die Schweiz zu verlassen. Hinzu kommt, dass der Gesuchsgegner die Papierbeschaffung gänzlich den Behörden überlassen hat und erhebliche Zweifel bestehen, dass sich der Gesuchsgegner an eine Meldepflicht halten würde.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- 10 -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