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WPR.2023.54 vom 12. Juli 2023</w:t>
      </w:r>
    </w:p>
    <w:p>
      <w:r>
        <w:t>AG Verwaltungsgericht, 2023-07-12, DE</w:t>
      </w:r>
    </w:p>
    <w:p>
      <w:r>
        <w:rPr>
          <w:b/>
        </w:rPr>
        <w:t xml:space="preserve">Quelle: </w:t>
      </w:r>
      <w:r>
        <w:t>https://mcp.opencaselaw.ch/entscheid/ag_verwaltungsgericht_WPR.2023.54</w:t>
      </w:r>
    </w:p>
    <w:p>
      <w:r>
        <w:t>FR: AG_VERWALTUNGSGERICHT WPR.2023.54 du 12 juillet 2023</w:t>
      </w:r>
    </w:p>
    <w:p>
      <w:r>
        <w:t>IT: AG_VERWALTUNGSGERICHT WPR.2023.54 del 12 luglio 2023</w:t>
      </w:r>
    </w:p>
    <w:p>
      <w:pPr>
        <w:pStyle w:val="Heading2"/>
      </w:pPr>
      <w:r>
        <w:t>Erwägungen</w:t>
      </w:r>
    </w:p>
    <w:p>
      <w:r>
        <w:rPr>
          <w:b/>
        </w:rPr>
        <w:t>E. 2</w:t>
      </w:r>
    </w:p>
    <w:p>
      <w:r>
        <w:t>Die Haft begann am 8. Juli 2023, 16.13 Uhr. Sie wird in Anwendung von Art. 76 Abs. AIG für drei Monate bis zum 7. Oktober 2023,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MIKA hat den Gesuchsgegner mit Verfügung vom 11. Juli 2023 unter Anordnung der sofortigen Vollstreckbarkeit aus der Schweiz weggewiesen (MI-act. 222 ff.). Diese Verfügung wurde dem Gesuchsgegner gleichentags eröffnet (MI-act. 227), womit ein rechtsgenüglicher Wegweisungsentscheid vorliegt.</w:t>
      </w:r>
    </w:p>
    <w:p>
      <w:r>
        <w:rPr>
          <w:b/>
        </w:rPr>
        <w:t>E. 2.3</w:t>
      </w:r>
    </w:p>
    <w:p>
      <w:r>
        <w:t>Gemäss Art. 80 Abs. 6 lit. a AIG ist die Haft zu beenden, wenn sich erweist, dass der Vollzug der Wegweisung aus rechtlichen oder tatsächlichen Gründen undurchführbar ist. Der Rechtsvertreter des Gesuchsgegners bringt vor, dass sich Sri Lanka in einem Gesundheitsnotstand befinde und das EDA diesbezüglich eine entsprechende Warnung herausgegeben habe, weshalb die Wegweisung aus rechtlicher Sicht unzulässig sei (act. 31). Dem kann nicht gefolgt werden. Abgesehen davon, dass die Zumutbarkeit des Vollzugs der Wegweisung durch das SEM und das Bundesverwaltungsgericht im Rahmen des Asylverfahrens bereits geprüft worden ist, hat der Haftrichter diesbezüglich ohnehin nur eine eingeschränkte Kognition und die Haftgenehmigung ist nur dann zu verweigern, wenn sich der zu sichernde Wegweisungsentscheid als offensichtlich unzulässig erweist, was hier nicht der Fall ist (BGE 125 II 217 Erw. 2). Weitere Anzeichen, die an der Ausschaffungsmöglichkeit in rechtlicher oder tatsächlicher Hinsicht Zweifel aufkommen lassen würden, sind keine ersichtlich. Dies umso weniger, als die sri-lankischen Behörden den Gesuchsgegner als sri-lankischen Staatsangehörigen anerkannt und für ihn bereits einmal ein Ersatzreisedokument ausgestellt haben (MI- act. 174). Nachdem regelmässige Flugverbindungen nach Sri Lanka bestehen (Protokoll S. 3, act. 27) und ein Rückflug bereits einmal angemeldet wurde (MI-act. 175 ff.), stehen dem Vollzug der Wegweisung zum heutigen Zeitpunkt keine Hindernisse entgegen.</w:t>
      </w:r>
    </w:p>
    <w:p>
      <w:r>
        <w:t>- 6 -</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w:t>
      </w:r>
    </w:p>
    <w:p>
      <w:r>
        <w:t>- 4 - D. Der Gesuchsteller beantragte die Bestätigung der Haftanordnung (Protokoll S. 3, act. 27). Der Gesuchsgegner liess folgende Anträge stellen (Protokoll S. 3, act. 27): 1. Die mit Verfügung vom 11.07.2023 des Amts für Migration und Integration (MIKA) angeordnete Ausschaffungshaft nach Art. 76 AIG für drei Monate sei nicht zu bestätigen. 2. Eventualiter sei die Ausschaffungshaft dem Verhältnismässigkeitsprinzip folgend für einen Monat zu erteilen. Der Einzelrichter zieht in Erwägung: I. 1. Das angerufene Gericht überprüft die Rechtmässigkeit und Angemessenheit einer durch das MIKA angeordneten Ausschaffungshaft aufgrund einer mündlichen Verhandlung spätestens nach 96 Stunden (Art. 80 Abs. 2 AIG,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7. Juli 2023, 22.50 Uhr, angehalten und seit dem 8. Juli 2023, 16.13 Uhr migrationsrechtlich festgehalten. Die mündliche Verhandlung begann am 12. Juli 2023, 10.00 Uhr; das Urteil wurde um 10.30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w:t>
      </w:r>
    </w:p>
    <w:p>
      <w:r>
        <w:t>- 5 - 2.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Der Gesuchsgegner, gegen den ein erstinstanzlicher Wegweisungsentscheid vorliegt, hätte die Schweiz längst verlassen müssen (MI-act. 222 ff.). Anlässlich eines Ausreisegesprächs vom</w:t>
      </w:r>
    </w:p>
    <w:p>
      <w:r>
        <w:rPr>
          <w:b/>
        </w:rPr>
        <w:t>E. 3.2</w:t>
      </w:r>
    </w:p>
    <w:p>
      <w:r>
        <w:t>Ein weiterer, vom MIKA als erfüllt betrachteter Haftgrund, liegt nach Art. 76 Abs. 1 lit. b Ziff. 1 i.V.m. Art. 75 Abs. 1 lit. g AIG vor, wenn jemand andere Personen ernsthaft bedroht oder an Leib und Leben erheblich gefährdet und deshalb strafrechtlich verfolgt wird oder verurteilt wurde. Mit nicht rechtskräftigem Urteil des Bezirksgerichts Hinwil vom 3. Februar 2022 wurde der Gesuchsgegner wegen Freiheitsberaubung und Entführung, einfacher Körperverletzung und Nötigung verurteilt (MI- act. 166 ff.). Damit ist der Haftgrund von Art. 76 Abs. 1 lit. b Ziff. 1 AIG in Verbindung mit Art. 75 Abs. 1 lit g AIG ebenfalls erfüllt. 4. Bezüglich der Haftbedingungen liegen keine Beanstandungen vor (Protokoll S. 3, act. 27).</w:t>
      </w:r>
    </w:p>
    <w:p>
      <w:r>
        <w:t>- 8 - 5. Es liegen auch keine Anzeichen dafür vor, dass das MIKA dem Beschleunigungsgebot (Art. 76 Abs. 4 AIG) nicht ausreichend Beachtung geschenkt hätte. 6. Das MIKA ordnete die Ausschaffungshaft für drei Monate an. Nachdem der Vollzug der Rückführung massgeblich vom Verhalten des Gesuchsgegners abhängig ist und es diesbezüglich zu Verzögerungen kommen kann, ist die beantragte Haftdauer – entgegen der Auffassung des Vertreters des Gesuchsgegners –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7. 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w:t>
      </w:r>
    </w:p>
    <w:p>
      <w:r>
        <w:t>- 9 - 2.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r>
        <w:rPr>
          <w:b/>
        </w:rPr>
        <w:t>E. 8</w:t>
      </w:r>
    </w:p>
    <w:p>
      <w:r>
        <w:t>Februar 2022 sowie anlässlich der Gewährung des rechtlichen Gehörs betreffend die Anordnung einer Ausschaffungshaft am 11. Juli 2023 äusserte sich der Gesuchsgegner dahingehend, dass er nicht bereit sei, die Schweiz in Richtung Sri Lanka zu verlassen (MI-act. 137 f., 215 ff.). In dieser konstanten Weigerung, der Ausreisepflicht nachzukommen, ist ein klares Anzeichen dafür zu erkennen, dass sich der Gesuchsgegner der Ausschaffung entziehen will. Daran ändert auch nichts, dass er sich</w:t>
      </w:r>
    </w:p>
    <w:p>
      <w:r>
        <w:t>- 7 - nunmehr anlässlich der heutigen Verhandlung zu einer Ausreise nach Frankreich bereit erklärte (Protokoll S. 3, act. 27). Er weist im Rahmen der heutigen Verhandlung zwar auf ein Visum für Frankreich hin, welches sechs Monate gültig sei (Protokoll S. 3, act. 27). Da besagtes Visum weder in den Akten, noch in den Effekten des Gesuchsgegners vorhanden ist, ist zu bezweifeln, dass der Gesuchsgegner über ein solches Visum verfügt. Eine alternative Ausreise nach Frankreich steht damit nicht zur Diskussion. Angesichts seines bisherigen Verhaltens, insbesondere aufgrund der Tatsache, dass der Gesuchsgegner bis zu seiner jüngst erfolgten Verhaftung während längerer Zeit als unbekannten Aufenthalts galt (MI- act. 147), er im Rahmen der Festnahme vom 7. Juli 2023 eine falsche Identität angab (MI-act. 201) und aufgrund seiner Weigerung, die Schweiz in Richtung Sri Lanka zu verlassen, ist davon auszugehen, dass er sich der Ausschaffung entziehen wird. Ferner hat sich der Gesuchsgegner trotz den entsprechenden Aufforderungen des MIKA und des SEM (MI-act. 104, 120) nicht darum bemüht, selbständig Reisepapiere zu beschaffen, sondern hat die Papierbeschaffung gänzlich den Behörden überlassen. Damit ist er auch seinen Mitwirkungspflichten nicht nachgekommen und hat sich behördlichen Anordnungen widersetzt. Unter diesen Umständen steht fest, dass der Gesuchsgegner mit seinem bisherigen Verhalten klare Anzeichen für eine Untertauchensgefahr gesetzt hat und es ist nicht davon auszugehen, dass er nach einer Entlassung aus der Ausschaffungshaft die Schweiz auf direktem Weg freiwillig in Richtung Sri Lanka verlassen würde. Damit ist der Haftgrund von Art. 76 Abs. 1 lit. b Ziff. 3 und 4 AIG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