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WPR.2023.43 vom 25. Mai 2023</w:t>
      </w:r>
    </w:p>
    <w:p>
      <w:r>
        <w:t>AG Verwaltungsgericht, 2023-05-25, DE</w:t>
      </w:r>
    </w:p>
    <w:p>
      <w:r>
        <w:rPr>
          <w:b/>
        </w:rPr>
        <w:t xml:space="preserve">Quelle: </w:t>
      </w:r>
      <w:r>
        <w:t>https://mcp.opencaselaw.ch/entscheid/ag_verwaltungsgericht_WPR.2023.43</w:t>
      </w:r>
    </w:p>
    <w:p>
      <w:r>
        <w:t>FR: AG_VERWALTUNGSGERICHT WPR.2023.43 du 25 mai 2023</w:t>
      </w:r>
    </w:p>
    <w:p>
      <w:r>
        <w:t>IT: AG_VERWALTUNGSGERICHT WPR.2023.43 del 25 maggio 2023</w:t>
      </w:r>
    </w:p>
    <w:p>
      <w:pPr>
        <w:pStyle w:val="Heading2"/>
      </w:pPr>
      <w:r>
        <w:t>Erwägungen</w:t>
      </w:r>
    </w:p>
    <w:p>
      <w:r>
        <w:rPr>
          <w:b/>
        </w:rPr>
        <w:t>E. 2</w:t>
      </w:r>
    </w:p>
    <w:p>
      <w:r>
        <w:t>Die Haft begann am 23. Mai 2023, 09.25 Uhr. Sie wird in Anwendung von Art. 77 AIG für 60 Tage bis zum 21. Juli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3. März 2021 lehnte das SEM das Asylgesuch des Gesuchsgegners ab, wies ihn aus der Schweiz aus und ordnete an, er habe die Schweiz sowie den Schengen-Raum spätestens bis zum 28. April 2021 zu verlassen (MI-act. 63 ff.). Die dagegen erhobene Beschwerde wies das Bundesverwaltungsgericht mit Urteil vom 14. März 2022 ab (MI-act. 95 ff.). Sodann lehnte das SEM mit Verfügung vom 28. September 2022 das Mehrfachgesuch des Gesuchsgegners ab und wies ihn erneut aus der Schweiz weg (MI-act. 156 ff.). Das Wiedererwägungsgesuch des Gesuchsgegners vom 10. November 2022 wurde mit Verfügung des SEM vom 3. Februar 2023 abgewiesen (MI-act. 166 ff.; 176 ff.). Die dagegen erhobene Beschwerde wies das Bundesverwaltungsgericht mit Urteil vom 21. März 2023 ab (MI-act. 188 ff.), womit der Asyl- und Wegweisungsentscheid des SEM vom 28. September 2022 in Rechtskraft erwachsen ist (MI-act. 164). Damit liegt ein rechtskräftiger – und da der Gesuchsgegner die Schweiz soweit ersichtlich zwischenzeitlich nie verlassen hat – vollstreckbarer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die sri-lankischen Behörden den Gesuchsgegner als sri-lankischer Staatsangehörigen identifiziert und für ihn ein Ersatzreisedokument ausgestellt haben (MI-act. 140 f.; 212).</w:t>
      </w:r>
    </w:p>
    <w:p>
      <w:r>
        <w:t>- 6 -</w:t>
      </w:r>
    </w:p>
    <w:p>
      <w:r>
        <w:rPr>
          <w:b/>
        </w:rPr>
        <w:t>E. 3</w:t>
      </w:r>
    </w:p>
    <w:p>
      <w:r>
        <w:t>Februar 2023 trat das SEM nicht auf das Wiedererwägungsgesuch des Gesuchsgegners ein (MI-act. 176 ff.) und hielt darin explizit fest, die Verfügung vom 28. September 2022 sei rechtskräftig und vollstreckbar (MI- act. 180). Der Gesuchsgegner hätte somit spätestens ab diesem Zeitpunkt die Schweiz verlassen müssen. Zudem entschied das Bundesverwaltungsgericht mit Zwischenverfügung vom 17. Februar 2023, dass der Gesuchsgegner den Ausgang seiner Beschwerde gegen den Nichteintretensentscheid betreffend Wiedererwägung des Asylentscheids im Ausland abzuwarten habe (MI-act. 183 ff.). Somit hat der Gesuchsgegner die Schweiz nicht innert der angesetzten Frist verlassen, womit die Voraussetzung nach Art. 77 Abs. 1 lit. b AIG – entgegen der Ansicht des Rechtsvertreters – erfüllt ist. Nachdem ein vollstreckbarer Wegweisungsentscheid für den Gesuchsgegner vorliegt (siehe vorne Erw. II/2.2), er nicht innert angesetzter Frist aus der Schweiz ausgereist ist und er wie aufgezeigt, die Beschaffung der erforderlichen Reisepapiere gänzlich den Schweizer Behörden überlassen hat, sind die die Voraussetzung von Art. 77 Abs. 1 AIG erfüllt. Weiterer subjektiver Voraussetzungen in der Person des Gesuchsgegners bedarf es nicht (ANDREAS ZÜND, in: MARC SPESCHA/ANDREAS ZÜND/PETER BOLZLI/CONSTANTIN HRUSCHKA/FANNY DE WECK [Hrsg.], Kommentar Migrationsrecht, 5. Aufl., Zürich 2019, N. 1 zu Art. 77). Aus diesem Grund ist – entgegen der Auffassung des Vertreters des Gesuchsgegners – unbeachtlich, dass sich der Gesuchsgegner im Rahmen des rechtlichen Gehörs beim MIKA vom 23. Mai 2023 zur freiwilligen Ausreise nach Sri Lanka mit Rückkehrhilfe bereit erklärt hat (MI-act. 231 ff.; act. 14).</w:t>
      </w:r>
    </w:p>
    <w:p>
      <w:r>
        <w:rPr>
          <w:b/>
        </w:rPr>
        <w:t>E. 3.1</w:t>
      </w:r>
    </w:p>
    <w:p>
      <w:r>
        <w:t>Das MIKA stützt seine Haftanordnung auf Art. 77 AIG, wonach ein Haftgrund dann gegeben ist, wenn ein vollstreckbarer Wegweisungsentscheid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rPr>
          <w:b/>
        </w:rPr>
        <w:t>E. 3.2</w:t>
      </w:r>
    </w:p>
    <w:p>
      <w:r>
        <w:t>Der Gesuchsgegner gab anlässlich des Ausreisegesprächs beim MIKA am 23. März 2022 zu Protokoll, er habe keine Reisepapiere und wolle nicht nach Sri Lanka zurückkehren (MI-act. 129 ff.). Gleichentags ersuchte das MIKA das SEM um Vollzugsunterstützung bei der Papierbeschaffung (MI- act. 136 f.). In der Folge teilte das SEM dem MIKA mit, es werde in den nächsten Tagen bei den sri-lankischen Behörden ein Gesuch um Ausstellung eines Ersatzreisepapiers für den Gesuchsgegner einreichen (MI-act. 138). Am 29. März 2022 teilte das SEM dem MIKA sodann mit, der Gesuchsgegner sei durch die sri-lankischen Behörden als sri-lankischer Staatsangehöriger identifiziert und die Ausstellung eines Ersatzreisedokuments – unter der Voraussetzung einer bestehenden Flugbuchung – zugesichert worden (MI-act. 140 f.). Nachdem das MIKA den Gesuchsgegner für einen Flug am 28. April 2023 nach Sri Lanka angemeldet hatte (MI-act. 210 f.), stellten die sri-lankischen Behörden dem Gesuchsgegner am 9. Mai 2023 ein bis zum 5. November 2023 gültiges Ersatzreisedokument aus (MI-act. 212). Der Vertreter des Gesuchsgegners macht geltend, die Voraussetzung von Art. 77 Abs. 1 lit. b AIG sei nicht erfüllt. Der Gesuchsgegner habe am 10. November 2022 aufgrund seines Gesundheitszustandes ein Wiedererwägungsgesuch beim SEM eingereicht. In der Folge habe das SEM, im Sinne einer vorsorglichen Massnahme, den Vollzug der Wegweisung einstweilig ausgesetzt. Es könne dem Gesuchsgegner deshalb nicht entgegengehalten werden, er habe die Schweiz nicht in der angesetzten Frist verlassen (act. 14). Der Gesuchsgegner hätte die Schweiz bis am Tag nach Eintritt der Rechtskraft des Urteils des SEM vom 28. September 2022, und somit bis am 8. November 2022, verlassen müssen (MI-act. 156 ff.; 164). Diese Verfügung wurde dem Rechtsvertreter des Gesuchsgegners eröffnet, womit dem Gesuchsgegner die Ausreisefrist bekannt gewesen sein muss (MI-act. 155). Das Wiedererwägungsgesuch</w:t>
      </w:r>
    </w:p>
    <w:p>
      <w:r>
        <w:t>- 7 - hat der Gesuchsgegner am 10. November 2022 beim SEM und somit erst nachdem die Frist zur Ausreise bereits abgelaufen war, eingereicht (MI- act. 166 ff.). Mit Schreiben vom 22. November 2022 ersuchte das SEM das MIKA den Vollzug der Wegweisung im Sinne einer vorsorglichen Massnahme einstweilen auszusetzen (MI-act. 173 f.). Mit Verfügung vom</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w:t>
      </w:r>
    </w:p>
    <w:p>
      <w:r>
        <w:t>- 8 - Sicherstellung des Vollzugs der Wegweisung ist nicht ersichtlich. Insbesondere wäre eine Meldepflicht in Kombination mit einer Eingrenzung aufgrund der gesetzlichen Vermutung der Untertauchensgefahr keinesfalls zielführend. Bezüglich der familiären Verhältnisse ergeben sich keine Anhaltspunkte, welche gegen eine Haftanordnung sprechen würden. Auch macht der Gesuchsgegner nicht geltend, er sei nicht hafterstehungsfähig. Insgesamt sind keinerlei Gründe ersichtlich, welche die angeordnete Haft als unverhältnismässig erscheinen liessen.</w:t>
      </w:r>
    </w:p>
    <w:p>
      <w:r>
        <w:rPr>
          <w:b/>
        </w:rPr>
        <w:t>E. 7</w:t>
      </w:r>
    </w:p>
    <w:p>
      <w:r>
        <w:t>Das MIKA ordnete die Ausschaffungshaft für 60 Tage an. Nachdem der Vollzug der Rückführung massgeblich vom Verhalten des Gesuchsgegners abhängig ist und es diesbezüglich zu Verzögerungen kommen kann, ist die beantragte Haftdauer entgegen der Auffassung des Vertreters des Gesuchsgegners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