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WPR.2023.32 vom 6. April 2023</w:t>
      </w:r>
    </w:p>
    <w:p>
      <w:r>
        <w:t>AG Verwaltungsgericht, 2023-04-06, DE</w:t>
      </w:r>
    </w:p>
    <w:p>
      <w:r>
        <w:rPr>
          <w:b/>
        </w:rPr>
        <w:t xml:space="preserve">Quelle: </w:t>
      </w:r>
      <w:r>
        <w:t>https://mcp.opencaselaw.ch/entscheid/ag_verwaltungsgericht_WPR.2023.32</w:t>
      </w:r>
    </w:p>
    <w:p>
      <w:r>
        <w:t>FR: AG_VERWALTUNGSGERICHT WPR.2023.32 du 6 avril 2023</w:t>
      </w:r>
    </w:p>
    <w:p>
      <w:r>
        <w:t>IT: AG_VERWALTUNGSGERICHT WPR.2023.32 del 6 aprile 2023</w:t>
      </w:r>
    </w:p>
    <w:p>
      <w:pPr>
        <w:pStyle w:val="Heading2"/>
      </w:pPr>
      <w:r>
        <w:t>Erwägungen</w:t>
      </w:r>
    </w:p>
    <w:p>
      <w:r>
        <w:rPr>
          <w:b/>
        </w:rPr>
        <w:t>E. 2</w:t>
      </w:r>
    </w:p>
    <w:p>
      <w:r>
        <w:t>Die Haft begann am 5. April 2023, 09.20 Uhr. Sie wird in Anwendung von Art. 76 AIG für drei Monate bis zum 4. Juli 2023,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Verfügung vom 7. November 2016 lehnte das SEM das Asylgesuch des Gesuchsgegners ab und wies ihn aus der Schweiz weg (MI-act. 31 ff.). Auf die dagegen erhobene Beschwerde trat das Bundesverwaltungsgericht mit Urteil vom 9. Januar 2017 nicht ein (MI-act. 43 ff.). Das in der Folge vom Gesuchsgegner gestellte Wiedererwägungsgesuch wies das SEM mit Ver- fügung vom 9. Februar 2017 ab und erklärte den Asyl- und Wegweisungs- entscheid vom 7. November 2016 für vollstreckbar (MI-act. 77 ff.). Auf die dagegen erhobene Beschwerde trat das Bundesverwaltungsgericht mit Ur- teil vom 19. April 2017 nicht ein (MI-act. 101 ff.). Damit liegt ein rechts- genüglicher Wegweisungsentscheid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 Dies umso weniger, als der Gesuchsgegner von den Behörden von Bangladesch als bangladeschischer Staatsangehöriger identifiziert wurde (MI-act. 134), ihm ein Ersatzreisepapier zugesichert wurde (MI-act. 182 f.) und für ihn bereits ein unbegleiteter Flug, welcher voraussichtlich am 17. April 2023 erfolgen wird, gebucht werden konnte (MI-act. 336 ff.). Der Vertreter des MIKA führte anlässlich der heutigen Verhandlung aus, die Zusicherung eines Ersatzreisedokuments für den Gesuchsgegner sei</w:t>
      </w:r>
    </w:p>
    <w:p>
      <w:r>
        <w:t>- 6 - nach wie vor aktuell und werde durch die Botschaft von Bangladesch bis zum Flug ausgestellt werden (Protokoll S. 5, act. 40). Diese behördliche Zusicherung kann durch das Vorbringen des Gesuchsgegners, es könne aufgrund des bisher schwierigen Umgangs mit den Behörden von Bangla- desch nicht davon ausgegangen werden, dass sie innert nützlicher Frist ein Ersatzreisedokument für ihn ausstellen würden (act. 46), nicht entkräftet werden. Insbesondere finden sich keine Hinweise in den Akten, dass die Behörden von Bangladesch ungenügend mit den Schweizerischen Behör- den kooperiert hätten. Nachdem auch regelmässige Flugverbindungen nach Bangladesch beste- hen (act. 3), stehen dem Wegweisungsvollzug zum heutigen Zeitpunkt keine Hindernisse entgegen.</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w:t>
      </w:r>
    </w:p>
    <w:p>
      <w:r>
        <w:t>- 4 - C. Anlässlich der heutigen Verhandlung vor dem Einzelrichter des Verwal- tungsgerichts wurden der Vertreter des MIKA und der Gesuchsgegner be- fragt. D. Das MIKA beantragte die Bestätigung der Haftanordnung (Protokoll S. 6, act. 41). Der Gesuchsgegner liess folgende Anträge stellen (Protokoll S. 6, act. 41): 1. Die Haftanordnung der Gesuchstellerin vom 5. April 2023 sei aufzuheben und der Gesuchsgegner sei mit sofortiger Wirkung aus der Haft zu entlas- sen. 2. Unter Kosten- und Entschädigungsfolgen.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 tegration vom 16. Dezember 2005 [Ausländer- und Integrationsgesetz, AIG; SR 142.20], § 6 des Einführungsgesetzes zum Ausländerrecht vom 25. November 2008 [EGAR; SAR 122.600]). Die Haftüberprüfungsfrist be- ginnt mit der ausländerrechtlich motivierten Anhaltung der betroffenen Per- son zu laufen (vgl. BGE 127 II 174, Erw. 2b/aa). 2. Im vorliegenden Fall wurde der Gesuchsgegner am 5. April 2023, 09.20 Uhr, angehalten. Die mündliche Verhandlung begann am 6. April 2023, 09.40 Uhr; das Urteil wurde um 10.30 Uhr eröffnet. Die richterliche Haftüberprüfung erfolgte somit innerhalb der Frist von 96 Stunden. II. 1. Wurde ein erstinstanzlicher Weg- oder Ausweisungsentscheid eröffnet oder wurde die betroffene Person mit einer Landesverweisung belegt, kann</w:t>
      </w:r>
    </w:p>
    <w:p>
      <w:r>
        <w:t>- 5 - die zuständige kantonale Behörde die betroffene Person zur Sicherstellung des Vollzugs in Haft nehmen (Art. 76 AIG). Zuständige kantonale Behörde im Sinne von Art. 76 Abs. 1 AIG ist gemäss § 13 Abs. 1 EGAR das MIKA. Im vorliegenden Fall wurde die Haftanord- 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MARC SPESCHA/ANDREAS ZÜND/PETER BOLZLI/CONSTANTIN HRUSCHKA/FANNY DE WECK [Hrsg.], Kommentar Migrationsrecht, 5. Aufl., Zürich 2019, N. 7 zu Art. 76 AIG und TARKAN GÖKSU, in: MARTINA CA-</w:t>
      </w:r>
    </w:p>
    <w:p>
      <w:r>
        <w:t>- 7 - RONI/THOMAS GÄCHTER/DANIELA THURNHERR [Hrsg.], Stämpflis Handkom- mentar zum Bundesgesetz über die Ausländerinnen und Ausländer [AuG], Bern 2010, N. 11 zu Art. 76).</w:t>
      </w:r>
    </w:p>
    <w:p>
      <w:r>
        <w:rPr>
          <w:b/>
        </w:rPr>
        <w:t>E. 3.2</w:t>
      </w:r>
    </w:p>
    <w:p>
      <w:r>
        <w:t>Der Gesuchsgegner, gegen den ein rechtskräftiger Wegweisungsentscheid vorliegt (MI-act. 31 ff.), hätte die Schweiz bis zum 25. Januar 2017 verlas- sen müssen (MI-act. 47). Anlässlich diverser Ausreisegespräche sowie an- lässlich der Gewährung des rechtlichen Gehörs betreffend die Anordnung einer Ausschaffungshaft am 5. April 2023 äusserte sich der Gesuchsgeg- ner dahingehend, dass er nicht bereit sei, die Schweiz in Richtung Bangla- desch zu verlassen (MI-act. 51, 141, 345 f.). Im Rahmen der heutigen Verhandlung gab der Gesuchsgegner zu Protokoll, dass seine Freundin gesagt habe, er solle nicht nach Bangladesch zurückkehren. Weiter wolle er ein Härtefallgesuch stellen (Protokoll S. 3, act. 38). In dieser mehrfachen Weigerung, der Ausreisepflicht nachzukommen, ist ein klares Anzeichen dafür zu erkennen, dass sich der Gesuchsgegner der Ausschaffung entziehen will. Daran ändert auch nichts, dass er in der Ver- gangenheit sämtlichen Vorladungen Folge geleistet hat und bislang nie un- bekannten Aufenthalts war. Dieses Verhalten legte er an den Tag, als er noch nicht befürchten musste, ausgeschafft zu werden. Da er nunmehr das Flugdatum kennt und weiss, dass der Vollzug der Wegweisung unmittelbar bevorsteht, ist aufgrund seiner Weigerung, die Schweiz in Richtung Bangladesch zu verlassen, davon auszugehen, dass er sich der Ausschaf- fung entziehen wird. Weitere Indizien dafür sind, dass er in der Schweiz eine Freundin hat und Mitglied in einem Badmintonclub ist, dessen Mitspie- ler er vermisst (Protokoll S. 7, act. 42). Ob der Gesuchsgegner auch seine Mitwirkungspflichten bei der Papierbeschaffung verletzt und somit ein weiteres Anzeichen für eine Untertauchensgefahr gesetzt hat, kann damit offenbleiben. Insgesamt setzte der Gesuchsgegner damit klare Anzeichen für eine Untertauchensgefahr, und es ist nicht davon auszugehen, dass er nach einer Entlassung aus der Ausschaffungshaft die Schweiz selbständig in Richtung Bangladesch verlassen würde. Damit ist der Haftgrund von Art. 76 Abs. 1 lit. b Ziff. 3 und 4 AIG erfüllt.</w:t>
      </w:r>
    </w:p>
    <w:p>
      <w:r>
        <w:rPr>
          <w:b/>
        </w:rPr>
        <w:t>E. 4</w:t>
      </w:r>
    </w:p>
    <w:p>
      <w:r>
        <w:t>Bezüglich der Haftbedingungen liegen keine Beanstandungen vor (Protokoll S. 6, act. 41).</w:t>
      </w:r>
    </w:p>
    <w:p>
      <w:r>
        <w:rPr>
          <w:b/>
        </w:rPr>
        <w:t>E. 5</w:t>
      </w:r>
    </w:p>
    <w:p>
      <w:r>
        <w:t>Es liegen auch keine Anzeichen dafür vor, dass das MIKA dem Beschleu- nigungsgebot (Art. 76 Abs. 4 AIG) nicht ausreichend Beachtung geschenkt hätte.</w:t>
      </w:r>
    </w:p>
    <w:p>
      <w:r>
        <w:t>- 8 -</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 entgegen der Auffassung des Gesuchsgegners – nicht ersichtlich. Ins- besondere wäre eine Eingrenzung in Kombination mit einer kurzfristigen Festhaltung vor dem Ausreisedatum aufgrund seiner Weigerung zur Ausreise keinesfalls zielführend. Daran ändert nichts, dass der Gesuchs- gegner bisher für die Behörden erreichbar war, wäre es ihm doch ohne weiteres möglich, sich den Behörden bis zum Rückführungszeitpunkt zur Verfügung zu halten und trotzdem unterzutauchen, sobald der Rückflug an- zutreten wäre.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 mässig erscheinen lassen.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w:t>
      </w:r>
    </w:p>
    <w:p>
      <w:r>
        <w:t>- 9 -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