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WPR.2023.29 vom 29. März 2023</w:t>
      </w:r>
    </w:p>
    <w:p>
      <w:r>
        <w:t>AG Verwaltungsgericht, 2023-03-29, DE</w:t>
      </w:r>
    </w:p>
    <w:p>
      <w:r>
        <w:rPr>
          <w:b/>
        </w:rPr>
        <w:t xml:space="preserve">Quelle: </w:t>
      </w:r>
      <w:r>
        <w:t>https://mcp.opencaselaw.ch/entscheid/ag_verwaltungsgericht_WPR.2023.29</w:t>
      </w:r>
    </w:p>
    <w:p>
      <w:r>
        <w:t>FR: AG_VERWALTUNGSGERICHT WPR.2023.29 du 29 mars 2023</w:t>
      </w:r>
    </w:p>
    <w:p>
      <w:r>
        <w:t>IT: AG_VERWALTUNGSGERICHT WPR.2023.29 del 29 marzo 2023</w:t>
      </w:r>
    </w:p>
    <w:p>
      <w:pPr>
        <w:pStyle w:val="Heading2"/>
      </w:pPr>
      <w:r>
        <w:t>Erwägungen</w:t>
      </w:r>
    </w:p>
    <w:p>
      <w:r>
        <w:rPr>
          <w:b/>
        </w:rPr>
        <w:t>E. 2</w:t>
      </w:r>
    </w:p>
    <w:p>
      <w:r>
        <w:t>Die Haft begann am 26. März 2023, 09.00 Uhr. Sie wird in Anwendung von Art. 76 AIG für drei Monate bis zum 25. Juni 2023,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Urteil vom 10. Januar 2019 wurde der Gesuchsgegner vom Bezirksgericht Bremgarten gestützt auf Art. 66a des Schweizerischen Strafgesetzbuchs vom 21. Dezember 1937 (StGB; SR 311.0) für fünf Jahre aus der Schweiz verwiesen (MI-act. 480 ff.). Die Landesverweisung wurde durch das Obergericht mit Urteil vom 12. August 2019 bestätigt (MI- act. 603 ff.). Ein durch den Gesuchsgegner am 13. Februar 2020 verfasstes Gesuch um Aufschub des Vollzugs der Landesverweisung wies der Rechtsdienst des MIKA mit Verfügung vom 19. März 2020 ab und verfügte gleichzeitig, der Gesuchsgegner habe die Schweiz am Tag seiner Entlassung aus dem Strafvollzug zu verlassen (MI-act. 649 f., 652 ff.). Diese Verfügung des MIKA erwuchs in der Folge unangefochten in Rechtskraft (MI-act. 662). Auf ein Revisionsgesuch des Gesuchsgegners vom 16. Juni 2020, mit welchem dieser unter anderem die Aufhebung des Urteils des Obergerichts vom 12. August 2019 bezüglich der Landesverweisung beantragt hatte, trat das Obergericht mit Beschluss vom 20. Juli 2020 nicht ein (MI-act. 682 ff., 690 ff.). Damit liegt eine rechtsgenügliche Landesverweisung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Dies umso weniger, als der Gesuchsgegner von den Behörden der DRK als kongolesischer Staatsangehöriger identifiziert wurde (MI- act. 841 f.) und er bereits für einen unbegleiteten Flug, welcher am 26. März 2023 hätte erfolgen sollen, angemeldet werden konnte (MI- act. 853 ff.). Zwar können aufgrund eines Botschafterwechsels im Moment keine Ersatzreisedokumente abgerufen und musste der auf den 26. März 2023 geplante Rückflug des Gesuchsgegners annulliert werden (MI- act. 874 f.; Protokoll S. 6 f., act. 22 f.). Gemäss Auskunft des SEM ist jedoch davon auszugehen, dass der neue Botschafter ab Mitte April 2023</w:t>
      </w:r>
    </w:p>
    <w:p>
      <w:r>
        <w:t>- 8 - wieder Anträge für Ersatzreisedokumente entgegennehmen und solche ausstellen wird (act. 7; Protokoll S. 7., act. 23). Dem Rechtsvertreter des Gesuchsgegners kann demnach nicht gefolgt werden, wenn er vorbringt, es sei mehr als ungewiss, ob die kongolesische Botschaft tatsächlich Mitte April ein Reisepapier ausstellen könne (act. 28). Nachdem zudem regelmässige Flugverbindungen in die DRK bestehen und ein Rückflug bereits einmal bestätigt wurde (Protokoll S. 7, act. 23; MI- act. 885 ff.), stehen dem Vollzug der Landesverweisung zum heutigen Zeitpunkt keine Hindernisse entgegen. 3.</w:t>
      </w:r>
    </w:p>
    <w:p>
      <w:r>
        <w:rPr>
          <w:b/>
        </w:rPr>
        <w:t>E. 3</w:t>
      </w:r>
    </w:p>
    <w:p>
      <w:r>
        <w:t>Eventuell: Es sei als Ersatzmassnahme dem Gesuchsgegner die Auflage zu erteilen, sich regelmässig bei einer richterlich zu bestimmenden Amtsstelle zu melden.</w:t>
      </w:r>
    </w:p>
    <w:p>
      <w:r>
        <w:rPr>
          <w:b/>
        </w:rPr>
        <w:t>E. 3.1</w:t>
      </w:r>
    </w:p>
    <w:p>
      <w:r>
        <w:t>Das MIKA stützt seine Haftanordnung unter anderem auf Art. 76 Abs. 1 lit. b Ziff. 1 i.V.m. Art. 75 Abs. 1 lit. b AIG, wonach eine Person zur Sicherstellung des Vollzuges der Landesverweisung in Haft genommen werden kann, wenn sie ein ihr nach Art. 74 AIG zugewiesenes Gebiet verlässt. Mit Verfügung vom 27. Juli 2020 ordnete das MIKA die Eingrenzung des Gesuchsgegners auf das Gebiet des Kantons Aargau an (MI-act. 701 ff.). Nachdem der Gesuchsgegner am 12. August 2020 aus dem Strafvollzug entlassen worden war (MI-act. 747), wurde er am 13. November 2020 von der Zuger Polizei angehalten und nach Feststellung des Verstosses gegen die gegen ihn verfügte Eingrenzung dem MIKA zugeführt (MI-act. 721 ff.). Zudem wurde der Gesuchsgegner mit Urteil des Bezirksgerichts Zürich vom 25. August 2022 ein weiteres Mal wegen Missachtung der gegen ihn verhängten Eingrenzung verurteilt (MI-act. 827 ff.). Damit ist der Haftgrund von Art. 76 Abs. 1 lit. b Ziff. 1 i.V.m. Art. 75 Abs. 1 lit. c AIG erfüllt.</w:t>
      </w:r>
    </w:p>
    <w:p>
      <w:r>
        <w:rPr>
          <w:b/>
        </w:rPr>
        <w:t>E. 3.2</w:t>
      </w:r>
    </w:p>
    <w:p>
      <w:r>
        <w:t>Des Weiteren stützt das MIKA seine Haftanordnung auf Art. 76 Abs. 1 lit. b Ziff. 1 i.V.m. Art. 75 Abs. 1 lit. h AIG, wonach eine Person in Haft genommen werden kann, wenn sie wegen eines Verbrechens verurteilt worden ist. Verbrechen sind gemäss Art. 10 Abs. 2 StGB Taten, die mit einer Freiheitsstrafe von mehr als drei Jahren bedroht sind. Für den Haftgrund nach Art. 76 Abs. 1 lit. b Ziff. 1 i.V.m. Art. 75 Abs. 1 lit. h AIG ist erforderlich, dass eine rechtskräftige Verurteilung vorliegt (ANDREAS ZÜND, in: MARC SPESCHA/ANDREAS ZÜND/PETER BOLZLI/CONSTANTIN HRUSCHKA/FANNY DE WECK [Hrsg.], Kommentar Migrationsrecht, 5. Aufl., Zürich 2019, N. 12 zu Art. 75 AIG). Gemäss konstanter bundesgerichtlicher Rechtsprechung ist keine Prognose darüber erforderlich, ob sich der Ausländer dem Vollzug der Wegweisung tatsächlich entziehen wird. Vielmehr besteht aufgrund der</w:t>
      </w:r>
    </w:p>
    <w:p>
      <w:r>
        <w:t>- 9 - schweren Straffälligkeit eine gesetzliche Vermutung, dass sich eine wegen eines Verbrechens verurteilte Person behördlichen Anordnungen widersetzen und versuchen wird, sich der Ausschaffung zu entziehen (Urteile des Bundesgerichts 2C_455/2009 vom 5. August 2009, Erw. 2.1 und 2C_312/2018 vom 11. Mai 2018, Erw. 3.2). Das Bezirksgericht Zürich hat den Gesuchsgegner mit Urteil vom 25. August 2022 unter anderem wegen Diebstahls nach Art. 139 Ziff. 1 StGB und Verbrechens gegen das Betäubungsmittelgesetz nach Art. 19 Abs. 1 lit. c und d i.V.m. Art. 19 Abs. 2 lit. a BetmG zu einer Freiheitsstrafe von 18 Monaten verurteilt und das Urteil ist in Rechtskraft erwachsen (MI- act. 827 ff.). Für Diebstahl nach Art. 139 Ziff. 1 StGB ist eine Freiheitsstrafe von bis zu fünf Jahren als Höchststrafe vorgesehen, weshalb dieser Straftatbestand ein Verbrechen nach Art. 10 Abs. 2 StGB darstellt. Gleiches gilt für die Verurteilung wegen Art. 19 Abs. 1 lit. c und d i.V.m. Art. 19 Abs. 2 lit. a BetmG. Angesichts der klaren bundesgerichtlichen Rechtsprechung (siehe oben) ist der Hinweis des Rechtsvertreters des Gesuchsgegners auf die Kritik der Lehre an obengenannter Rechtsprechung, wonach der Konnex zwischen Straffälligkeit und Untertauchen nicht offensichtlich sei und das strafrechtliche Verhalten des Ausländers für sich betrachtet kaum genügen könne, um auf eine Vollzugsgefährdung zu schliessen, unbehelflich (act. 28). Liegt ein Haftgrund vor, weil die betroffene Person wegen eines Verbrechens verurteilt wurde, kann sich die Anordnung einer Haft allenfalls dann als nicht notwendig und damit unverhältnismässig erweisen, wenn sich die betroffene Person proaktiv um eine Rückkehr in ihr Heimatland bemüht und so ihre Ausreisebereitschaft untermauert. Ein derartiges Verhalten ist beim Gesuchsgegner jedoch nicht erkennbar. Nach dem Gesagten ist der Haftgrund von Art. 76 Abs. 1 lit. b Ziff. 1 i.V.m. Art. 75 Abs. 1 lit. h AIG ebenfalls erfüllt.</w:t>
      </w:r>
    </w:p>
    <w:p>
      <w:r>
        <w:rPr>
          <w:b/>
        </w:rPr>
        <w:t>E. 3.3</w:t>
      </w:r>
    </w:p>
    <w:p>
      <w:r>
        <w:t>Ein weiterer, vom MIKA als erfüllt betrachteter Haftgrund, liegt nach Art. 76 Abs. 1 lit. b Ziff. 1 i.V.m. Art. 75 Abs. 1 lit. g AIG vor, wenn jemand andere Personen ernsthaft bedroht oder an Leib und Leben erheblich gefährdet und deshalb strafrechtlich verfolgt wird oder verurteilt wurde. Dabei werden von diesem Haftgrund unter anderem auch Betäubungsmittelhändler erfasst (ANDREAS ZÜND, in: MARC SPESCHA/ANDREAS ZÜND/PETER BOLZLI/CONSTANTIN HRUSCHKA/FANNY DE WECK [Hrsg.], Kommentar Migrationsrecht, 5. Aufl., Zürich 2019, N. 11 zu Art. 75 AIG) und fallen darunter gemäss Rechtsprechung auch sogenannte "Ameisendealer", welche zwar mit Kleinstmengen, jedoch vermutlich häufig bzw. wiederholt handeln. Somit kann auch ein Kleindealer, zumindest wenn</w:t>
      </w:r>
    </w:p>
    <w:p>
      <w:r>
        <w:t>- 10 - es sich um den Handel mit Heroin und Kokain handelt, eine erhebliche Gefährdung von Leib und Leben bewirken (BGE 125 II 369, Erw. 3. b/bb). Mit Urteil des Bezirksgerichts Zürich vom 25. August 2022 wurde der Gesuchsgegner unter anderem wegen Verbrechen gegen das Betäubungsmittelgesetz verurteilt (MI-act. 827 ff.). Aus dem unbegründeten Urteil des Bezirksgerichts Zürich kann einzig entnommen werden, dass der Gesuchsgegner bei seiner Festnahme ungefähr 88 Gramm Kokain, auf sich trug. Weitere Hinweise, insbesondere bezüglich der Häufigkeit und des Umfangs des Kokainhandels des Gesuchsgegners, sind aus den Akten nicht ersichtlich. Anlässlich der heutigen Verhandlung gab der Gesuchsgegner zu Protokoll, es seien bei seiner Festnahme etwa 88 Gramm Kokain sichergestellt worden, wobei er das Kokain nicht an einen grösseren Personenkreis verteilt habe, sondern es sich lediglich um ungefähr zehn Personen gehandelt habe (Protokoll S. 6, act. 22). Nachdem die beiden oben genannten Haftgründe ohnehin erfüllt sind und sich aus den Akten keine weiteren Hinweise ergeben, kann vorliegend offengelassen werden, ob der Gesuchsgegner mit seiner Tat Personen im Sinne von Art. 76 Abs. 1 lit. b Ziff. 1 i.V.m. Art. 75 Abs. 1 lit. g AIG an Leib und Leben erheblich gefährdet hat.</w:t>
      </w:r>
    </w:p>
    <w:p>
      <w:r>
        <w:rPr>
          <w:b/>
        </w:rPr>
        <w:t>E. 3.4</w:t>
      </w:r>
    </w:p>
    <w:p>
      <w:r>
        <w:t>Das MIKA stützt seine Haftanordnung schliesslich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w:t>
      </w:r>
    </w:p>
    <w:p>
      <w:r>
        <w:t>- 11 -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 Der Gesuchsgegner äusserte sich anlässlich des Ausreisegespräches vom 16. Mai 2020 sowie anlässlich des rechtlichen Gehörs betreffend die Anordnung einer Ausschaffung vom 27. März 2023 dahingehend, er sei bereit, die Schweiz selbständig zu verlassen und in den Kongo zurückzukehren (MI-act. 665, 902). Die Bereitschaft des Gesuchsgegners, die Schweiz zu verlassen und in die DRK auszureisen, zeugt somit grundsätzlich nicht davon, dass er sich der Ausschaffung entziehen und untertauchen wird. Jedoch muss für die Beurteilung der Untertauchensgefahr auf das gesamte bisherige Verhalten des Gesuchsgegners abgestellt werden, insbesondere auch auf sein Verhalten gegenüber den Behörden. Diesbezüglich bringt das MIKA in seiner Haftanordnung vor, der Gesuchsgegner sei seit dem 2. August 2020 bis zur Verhaftung am 16. Februar 2022 unbekannten Aufenthalts gewesen, womit er die Pflicht verletzt habe, sich gegenüber den Behörden jederzeit zur Verfügung zu halten. Dieses Untertauchen sei ein konkretes Anzeichen dafür, dass der Gesuchsgegner sich der Ausschaffung entziehen wolle (act. 7). Am 17. September 2021 ordnete das MIKA eine Hausdurchsuchung an, um den Gesuchsgegner zwecks Zuführung zum SEM anzuhalten (MI- act. 744 f.). Gemäss Mitteilung der Kantonspolizei Aargau vom 28. September 2021 habe der Aufenthaltsort des Gesuchsgegners nicht eruiert werden können. Zudem gab die Kantonspolizei an, der Gesuchsgegner wohne, gemäss Angaben seines Vaters, nicht mehr bei ihm (MI-act. 750). In der Folge schrieb das MIKA den Gesuchsgegner am</w:t>
      </w:r>
    </w:p>
    <w:p>
      <w:r>
        <w:rPr>
          <w:b/>
        </w:rPr>
        <w:t>E. 3.5</w:t>
      </w:r>
    </w:p>
    <w:p>
      <w:r>
        <w:t>Nach dem Gesagten steht fest, dass die Haftgründe gemäss Art. 76 Abs. 1 lit. b Ziff. 1 i.V.m. Art. 75 Abs. 1 lit. b AIG (Verstoss gegen eine Gebietsbeschränkung) und Art. 76 Abs. 1 lit. b Ziff. 1 i.V.m. Art. 75 Abs. 1 lit. h AIG (Verurteilung wegen eines Verbrechens) erfüllt sind. 4. Bezüglich der Haftbedingungen liegen keine Beanstandungen vor. (Protokoll S. 7, act. 23). 5. Bezüglich Einhaltung des Beschleunigungsgebots ist Folgendes festzuhalten: Das MIKA meldete den Gesuchsteller am 10. Februar 2023 beim SEM für einen Flug nach Kinshasa an (MI-act. 853 f.), der auf den 26. März 2023 bestätigt wurde (MI-act. 857 ff.). Diese Flugbuchung musste am 6. März 2023 annulliert werden, da aufgrund eines Botschafterwechsels in der Botschaft der DRK in Bern das Ersatzreisedokument für den Gesuchsgegner nicht rechtzeitig ausgestellt werden konnte (MI-act. 874 ff., 888). Die Annullation des Fluges kann dem MIKA nicht angelastet werden und es liegen auch sonst keine Anzeichen dafür vor, dass das MIKA dem Beschleunigungsgebot (Art. 76 Abs. 4 AIG) nicht ausreichend Beachtung geschenkt hätte. 6. 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w:t>
      </w:r>
    </w:p>
    <w:p>
      <w:r>
        <w:t>- 13 - dass das MIKA bisher stets bemüht war, Ausschaffungen so rasch wie möglich zu vollziehen. Sollte das MIKA entgegen seiner bisherigen Gewohnheit das Beschleunigungsgebot verletzen, besteht die Möglichkeit, ein Haftentlassungsgesuch zu stellen.</w:t>
      </w:r>
    </w:p>
    <w:p>
      <w:r>
        <w:rPr>
          <w:b/>
        </w:rPr>
        <w:t>E. 4</w:t>
      </w:r>
    </w:p>
    <w:p>
      <w:r>
        <w:t>Unter Kosten- und Entschädigungsfolge. Der Einzelrichter zieht in Erwägung: I. 1. Das angerufene Gericht überprüft die Rechtmässigkeit und Angemessenheit einer durch das MIKA angeordneten Ausschaffungshaft aufgrund einer mündlichen Verhandlung spätestens nach 96 Stunden (Art. 80 Abs. 2 AIG,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am 26. März 2023, 09.00 Uhr, aus dem Strafvollzug entlassen und am darauffolgenden Tag dem MIKA zugeführt. Die mündliche Verhandlung begann am 29. März 2023, 15.00 Uhr; das Urteil wurde um 15.30 Uhr eröffnet. Die richterliche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sowie § 91a der Verordnung über den Vollzug von Strafen und Massnahmen vom 9. Juli 2003 (SMV; SAR 253.111) das MIKA. Im vorliegenden Fall wurde die Haftanordnung durch das MIKA und damit durch die zuständige Behörde erlassen (act. 1 ff.).</w:t>
      </w:r>
    </w:p>
    <w:p>
      <w:r>
        <w:t>- 7 - 2.</w:t>
      </w:r>
    </w:p>
    <w:p>
      <w:r>
        <w:rPr>
          <w:b/>
        </w:rPr>
        <w:t>E. 7</w:t>
      </w:r>
    </w:p>
    <w:p>
      <w:r>
        <w:t>Abschliessend stellt sich die Frage, ob die Haftanordnung deshalb nicht zu bestätigen sei, weil sie im konkreten Fall gegen das Prinzip der Verhältnismässigkeit verstossen würde. Dass die Ausschaffungshaft geeignet ist, den Vollzug der Landesverweisung sicherzustellen, liegt auf der Hand und bedarf keiner weiteren Ausführungen. Gleiches gilt mit Blick auf die Notwendigkeit der Anordnung einer Ausschaffungshaft (vgl. oben Erw. 3.2). Eine mildere Massnahme zur Sicherstellung des Vollzugs der Landesverweisung ist vorliegend überdies ohnehin nicht ersichtlich. Entgegen den Vorbringen des Rechtsvertreters des Gesuchsgegners (act. 27 ff.) reicht eine Meldepflicht nicht aus, da dadurch nicht sichergestellt werden kann, dass der Gesuchsgegner tatsächlich ausreisen wird. Dies gilt umso mehr als der Gesuchsgegner bereits mehrfach gegen eine gegen ihn verfügte Eingrenzung verstossen hat (siehe vorne Erw. 3.1.). Hinzu kommt, dass der Gesuchsgegner die Papierbeschaffung gänzlich den Behörden überlassen hat und erhebliche Zweifel bestehen, dass sich der Gesuchsgegner an eine Meldepflicht halten würde. Daran ändert auch nichts, dass der Gesuchsgegner anlässlich der heutigen Verhandlung erklärt hat, er könne bis zu seiner Ausreise bei seinem Vater wohnen (Protokoll S. 8, act. 24).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w:t>
      </w:r>
    </w:p>
    <w:p>
      <w:r>
        <w:t>- 14 -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