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WPR.2023.13 vom 17. Februar 2023</w:t>
      </w:r>
    </w:p>
    <w:p>
      <w:r>
        <w:t>AG Verwaltungsgericht, 2023-02-17, DE</w:t>
      </w:r>
    </w:p>
    <w:p>
      <w:r>
        <w:rPr>
          <w:b/>
        </w:rPr>
        <w:t xml:space="preserve">Quelle: </w:t>
      </w:r>
      <w:r>
        <w:t>https://mcp.opencaselaw.ch/entscheid/ag_verwaltungsgericht_WPR.2023.13</w:t>
      </w:r>
    </w:p>
    <w:p>
      <w:r>
        <w:t>FR: AG_VERWALTUNGSGERICHT WPR.2023.13 du 17 février 2023</w:t>
      </w:r>
    </w:p>
    <w:p>
      <w:r>
        <w:t>IT: AG_VERWALTUNGSGERICHT WPR.2023.13 del 17 febbraio 2023</w:t>
      </w:r>
    </w:p>
    <w:p>
      <w:pPr>
        <w:pStyle w:val="Heading2"/>
      </w:pPr>
      <w:r>
        <w:t>Erwägungen</w:t>
      </w:r>
    </w:p>
    <w:p>
      <w:r>
        <w:rPr>
          <w:b/>
        </w:rPr>
        <w:t>E. 2</w:t>
      </w:r>
    </w:p>
    <w:p>
      <w:r>
        <w:t>Kammer WPR.2023.13 / iö ZEMIS [***] Urteil vom 17. Februar 2023 Gesuchsteller Amt für Migration und Integration Kanton Aargau, Sektion Asyl und Rückkehr, Bahnhofstrasse 88, 5001 Aarau vertreten durch Rebecca Wülser, Bahnhofstrasse 88, 5000 Aarau Gesuchsgegner A._____, von Marokko Gegenstand Ausschaffungshaft gestützt auf Art. 76 AIG / Haftüberprüfung</w:t>
      </w:r>
    </w:p>
    <w:p>
      <w:r>
        <w:t>- 2 - Die Einzelrichterin entnimmt den Akten: A. Der Gesuchsgegner wurde am 24. Januar 2023 anlässlich einer Kontrolle durch die Kantonspolizei Aargau in Stein AG angehalten und in der Folge gestützt auf § 34 des Gesetzes über die Gewährleistung der öffentlichen Sicherheit vom 6. Dezember 2005 (Polizeigesetz, PolG; SAR 531.200) i.V.m. § 46 des Gesetzes über die Verwaltungsrechtspflege vom</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wurde (Art. 76 Abs. 1 AIG). Das MIKA hat den Gesuchsgegner mit Verfügung vom 30. Januar 2023 unter Anordnung der sofortigen Vollstreckbarkeit aus der Schweiz weggewiesen (MI-act. 26 ff.). Diese Verfügung wurde dem Gesuchsgegner gleichentags um 10.40 Uhr eröffnet (MI-act. 29). Da der Gesuchsgegner nach seinen eigenen Angaben die Schweiz auch zwischenzeitlich nie verlassen hat (vgl. MI-act. 48, 63), liegt ein rechtsgenüglicher Weg- weisungsentscheid vor.</w:t>
      </w:r>
    </w:p>
    <w:p>
      <w:r>
        <w:rPr>
          <w:b/>
        </w:rPr>
        <w:t>E. 2.3</w:t>
      </w:r>
    </w:p>
    <w:p>
      <w:r>
        <w:t>Es sind keine Anzeichen vorhanden, die an der Ausschaffungsmöglichkeit in tatsächlicher oder rechtlicher Hinsicht Zweifel aufkommen lassen</w:t>
      </w:r>
    </w:p>
    <w:p>
      <w:r>
        <w:t>- 5 - würden. Dies umso weniger, als die französischen Behörden der Rückübernahme des Gesuchsgegners zugestimmt haben und die Rückübergabe bereits organisiert ist (MI-act. 70, 85). 3. 3.1. 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BOLZLI/CONSTANTIN HRUSCHKA/FANNY DE WECK [Hrsg.], Kommentar Migrationsrecht, 5. Aufl., Zürich 2019, N. 7 zu Art. 76 AIG und TARKAN GÖKSU, in: MARTINA CARONI/THOMAS GÄCHTER/DANIELA THURNHERR [Hrsg.], Stämpflis Handkommentar zum Bundesgesetz über die Ausländerinnen und Ausländer [AuG], Bern 2010, N. 11 zu Art. 76). 3.2. Der Gesuchsgegner, gegen den ein vollstreckbarer Wegweisungs- entscheid vorliegt (MI-act. 26 ff.), hätte die Schweiz bis zum 30. Januar 2023 verlassen müssen, worauf er mehrmals, letztmals durch das MIKA anlässlich der Gewährung des rechtlichen Gehörs betreffend die Ausschaffungshaft am 16. Februar 2023 hingewiesen wurde (MI-act. 49, 75 f.). Obwohl er anlässlich der polizeilichen Einvernahme durch die</w:t>
      </w:r>
    </w:p>
    <w:p>
      <w:r>
        <w:t>- 6 - Kantonspolizei St. Gallen am 6. Februar 2023 zu Protokoll gab, er werde die Schweiz in der kommenden Woche verlassen (MI-act. 49), ist er aktenkundig seiner Ausreisepflicht bisher nicht nachgekommen (MI- act. 48, 63, 75). Hinzu kommt, dass sich der Gesuchsgegner trotz Aufforderung des MIKA nicht beim BAZ Basel gemeldet hat, obwohl das MIKA ihm hierzu einen Railcheck sowie einen Passierschein aushändigte (MI-act. 52 f.), womit er sich behördlichen Anordnungen widersetzte. Zwar äusserte sich der Gesuchsgegner anlässlich der Gewährung des rechtlichen Gehörs betreffend die Anordnung einer Ausschaffungshaft gegenüber dem MIKA dahingehend, dass er bereit sei, die Schweiz in Richtung Frankreich zu verlassen (MI-act. 76). Eine plausible Erklärung für seine bisherige Nichtausreise vermochte er jedoch nicht zu liefern. Angesichts seines bisherigen Verhaltens, insbesondere aufgrund des Umstandes, dass der Gesuchsgegner der Ausreisepflicht bisher keine Folge geleistet hat und immer wieder polizeilich angehalten werden musste, erscheint die geäusserte Bereitschaft zur freiwilligen Ausreise als blosse Schutzbehauptung, um die drohende Ausschaffungshaft abzu- wenden und ist als unglaubhaft zu qualifizieren. Unter diesen Umständen steht fest, dass der Gesuchsgegner mit seinem bisherigen Verhalten klare Anzeichen für eine Untertauchensgefahr gesetzt hat, und es ist nicht davon auszugehen, dass er nach Entlassung aus der Ausschaffungshaft die Schweiz freiwillig in Richtung Frankreich verlassen würde. Damit ist der Haftgrund von Art. 76 Abs. 1 lit. b Ziff. 3 und 4 AIG erfüllt.</w:t>
      </w:r>
    </w:p>
    <w:p>
      <w:r>
        <w:rPr>
          <w:b/>
        </w:rPr>
        <w:t>E. 4</w:t>
      </w:r>
    </w:p>
    <w:p>
      <w:r>
        <w:t>Bezüglich der Haftbedingungen liegen keine Beanstandungen vor (MI- act. 76).</w:t>
      </w:r>
    </w:p>
    <w:p>
      <w:r>
        <w:rPr>
          <w:b/>
        </w:rPr>
        <w:t>E. 5</w:t>
      </w:r>
    </w:p>
    <w:p>
      <w:r>
        <w:t>Es liegen auch keine Anzeichen dafür vor, dass das MIKA dem Beschleunigungsgebot (Art. 76 Abs. 4 AIG) nicht ausreichend Beachtung geschenkt hätte.</w:t>
      </w:r>
    </w:p>
    <w:p>
      <w:r>
        <w:rPr>
          <w:b/>
        </w:rPr>
        <w:t>E. 6</w:t>
      </w:r>
    </w:p>
    <w:p>
      <w:r>
        <w:t>Weiter stellt sich die Frage, ob die Haftanordnung deshalb nicht zu bestätigen sei, weil sie im konkreten Fall gegen das Prinzip der Verhältnismässigkeit verstossen würde. Eine mildere Massnahme zur Sicherstellung des Vollzugs der Wegweisung ist nicht ersichtlich. Wie gesehen, bietet der Gesuchsgegner mit seinem Verhalten keinerlei Gewähr für eine ordnungsgemässe Ausreise nach Frankreich, weshalb die Anordnung einer Eingrenzung in Kombination mit einer Meldepflicht nicht zielführend wäre. Bezüglich der familiären Verhältnisse ergeben sich keine Anhaltspunkte, welche gegen eine Haftanordnung sprechen würden. Der Gesuchsgegner macht auch nicht geltend, er sei nicht hafterstehungsfähig.</w:t>
      </w:r>
    </w:p>
    <w:p>
      <w:r>
        <w:t>- 7 - Insgesamt sind keinerlei Gründe ersichtlich, welche die angeordnete Haft als unverhältnismässig erscheinen liessen.</w:t>
      </w:r>
    </w:p>
    <w:p>
      <w:r>
        <w:rPr>
          <w:b/>
        </w:rPr>
        <w:t>E. 7</w:t>
      </w:r>
    </w:p>
    <w:p>
      <w:r>
        <w:t>Das MIKA ordnete die Ausschaffungshaft für 13 Tage an. Dies ist grundsätzlich nicht zu beanstanden. Im vorliegenden Fall wurde aber aufgrund des Einverständnisses des Gesuchsgegners auf die Durchführung einer mündlichen Verhandlung verzichtet. Gemäss Art. 80 Abs. 3 AIG ist die mündliche Verhandlung spätestens zwölf Tage nach der Haftanordnung nachzuholen, wenn die betroffene Person nicht innert acht Tagen nach der Haftanordnung ausgeschafft werden kann. Unter diesen Umständen ist es angezeigt, die Haft nur für zwölf Tage (seit Haftanordnung), d.h. bis zum 25. Februar 2023, 12.00 Uhr, zu bestätigen. III. Gemäss § 28 Abs. 1 EGAR ist das Verfahren betreffend Haftüberprüfung unentgeltlich. Demgemäss werden keine Kosten erhoben. IV. Nachdem der Gesuchsgegner kein Deutsch versteht, nicht anwaltlich vertreten ist und aufgrund der Inhaftierung auch nicht in der Lage ist, sich das Urteil übersetzen zu lassen, ist das MIKA anzuweisen, dem Gesuchsgegner das vorliegende Urteil in einer für ihn verständlichen Weise zu eröffnen und dem Verwaltungsgericht eine Bestätigung der Urteilseröffnung zukommen zu lassen. Die Einzelrichterin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