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WPR.2022.91 vom 15. Dezember 2022</w:t>
      </w:r>
    </w:p>
    <w:p>
      <w:r>
        <w:t>AG Verwaltungsgericht, 2022-12-15, DE</w:t>
      </w:r>
    </w:p>
    <w:p>
      <w:r>
        <w:rPr>
          <w:b/>
        </w:rPr>
        <w:t xml:space="preserve">Quelle: </w:t>
      </w:r>
      <w:r>
        <w:t>https://mcp.opencaselaw.ch/entscheid/ag_verwaltungsgericht_WPR.2022.91</w:t>
      </w:r>
    </w:p>
    <w:p>
      <w:r>
        <w:t>FR: AG_VERWALTUNGSGERICHT WPR.2022.91 du 15 décembre 2022</w:t>
      </w:r>
    </w:p>
    <w:p>
      <w:r>
        <w:t>IT: AG_VERWALTUNGSGERICHT WPR.2022.91 del 15 dicembre 2022</w:t>
      </w:r>
    </w:p>
    <w:p>
      <w:pPr>
        <w:pStyle w:val="Heading2"/>
      </w:pPr>
      <w:r>
        <w:t>Erwägungen</w:t>
      </w:r>
    </w:p>
    <w:p>
      <w:r>
        <w:rPr>
          <w:b/>
        </w:rPr>
        <w:t>E. 2</w:t>
      </w:r>
    </w:p>
    <w:p>
      <w:r>
        <w:t>Die Haft begann (richtig beginnt) am 12. Dezember 2022, um 11.00 Uhr. Sie wird in Anwendung von Art. 76 AIG für drei Monate bis zum 12. März 2023, 11.00 Uhr, angeordnet.</w:t>
      </w:r>
    </w:p>
    <w:p>
      <w:r>
        <w:rPr>
          <w:b/>
        </w:rPr>
        <w:t>E. 2.1</w:t>
      </w:r>
    </w:p>
    <w:p>
      <w:r>
        <w:t>Das MIKA begründet seine Haftanordnung damit, dass es die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des Obergerichts des Kantons Aargau vom 18. August 2020 wurde der Gesuchsgegner für drei Jahre des Landes verwiesen (MI-act. 587). Dieser Entscheid ist in Rechtskraft erwachsen. Damit liegt eine rechtsgenügliche Landesverweisung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Daran ändert auch der Antrag des Gesuchsgegners, das MIKA sei anzuweisen, die Zumutbarkeit des Vollzugs nach Sri Lanka erneut und aktuell abzuklären und ggf. beim Staatssekretariat für Migration eine vorläufige Aufnahme zu beantragen, nichts. Es liegt einerseits nicht in der Kompetenz des Haftrichters, über einen derartigen Antrag zu befinden und andererseits hat der Gesuchsgegner auch nicht rechtsgenüglich dargetan, dass der Vollzug der Wegweisung aus rechtlichen Gründen derart klar unzulässig wäre, dass bereits deshalb die Haft nicht bestätigt werden könnte. 3.</w:t>
      </w:r>
    </w:p>
    <w:p>
      <w:r>
        <w:rPr>
          <w:b/>
        </w:rPr>
        <w:t>E. 3</w:t>
      </w:r>
    </w:p>
    <w:p>
      <w:r>
        <w:t>Das MIKA sei anzuweisen, die Zumutbarkeit des Vollzugs nach Sri Lanka erneut und aktuell abzuklären und ggf. beim Staatssekretariat für Migration eine vorläufige Aufnahme zu beantragen.</w:t>
      </w:r>
    </w:p>
    <w:p>
      <w:r>
        <w:t>- 4 -</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w:t>
      </w:r>
    </w:p>
    <w:p>
      <w:r>
        <w:t>- 6 -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 Das MIKA stützt seine Haftanordnung auf Art. 76 Abs. 1 lit. b Ziff. 3 AIG, wonach ein Haftgrund dann vorliegt, wenn eine Person andere Personen ernsthaft bedroht oder an Leib und Leben erheblich gefährdet und deshalb strafrechtlich verfolgt wird oder verurteilt worden ist. Der Gesuchsgegner hat sich anlässlich der Gewährung des rechtlichen Gehörs betreffend die Anordnung einer Ausschaffungshaft nie dahingehend geäussert, dass er nicht gewillt sei, die Schweiz zu verlassen. Ganz im Gegenteil hat er sich danach erkundigt, wie er sich von Familie und Freunden verabschieden und ob er in drei Jahren wieder zurückkehren könne (MI-act. 698). Anlässlich der heutigen Verhandlung erklärte sich der Gesuchsgegner ausdrücklich bereit, die Schweiz zu verlassen. Er wolle nicht durch eine Flucht oder durch Untertauchen eine normale Rückkehr in die Schweiz in drei Jahre verunmöglichen (Protokoll S. 2, act. 2). Aufgrund der Aussagen ist die Bereitschaft des Gesuchsgegners selbständig auszureisen, entgegen der Auffassung des Gesuchstellers, nicht als Schutzbehauptung zu qualifizieren. Es ist glaubhaft, dass der Gesuchsgegner bereit ist, freiwillig auszuweisen, da er beabsichtigt wieder in die Schweiz zurück zu kehren, um bei seiner Tochter in der Schweiz leben zu können. Auch sein Empfangsraum, welchen ihn nach der Entlassung aus dem Massnahmenvollzug erwartet hatte und welchen der Gesuchsteller gänzlich unbeachtet liess, spricht gegen das Vorliegen der Untertauchensgefahr. So sagte sowohl der Gesuchsgegner als auch</w:t>
      </w:r>
    </w:p>
    <w:p>
      <w:r>
        <w:t>- 7 - dessen als Zeugin befragte Mutter anlässlich der Verhandlung übereinstimmend aus, der Gesuchsgegner habe sich, seit ihm im Massnahmenvollzug Wochenendurlaub gestattet wurde, jeweils bei seiner Mutter, welche allein in einer dreieinhalb Zimmer Wohnung lebt, aufgehalten. Nach Entlassung aus der Haft könne er weiterhin bis zur Ausreise aus der Schweiz bei ihr leben. Aktuell spricht damit einzig der Umstand, dass der Gesuchsgegner für rund vier Wochen aus dem Massnahmenvollzug entflohen ist, für das Vorliegen einer Untertauchensgefahr, dies jedoch nicht entscheidrelevant, da die mit der Flucht verbundene Widerhandlung gegen eine behördliche Anordnung nicht im Zusammenhang mit dem Wegweisungsvollzug steht, und sich der Gesuchsgegner dem Massnahmenvollzug nicht in der Absicht entzogen hatte, sich der Ausschaffung zu entziehen. Insgesamt steht damit fest, dass nicht genügend Anzeichen für das Vorliegen einer Untertauchensgefahr bestehen und mithin der Haftgrund von Art. 76 Abs. 1 lit. b Ziff. 3 und 4 AIG nicht erfüllt ist.</w:t>
      </w:r>
    </w:p>
    <w:p>
      <w:r>
        <w:rPr>
          <w:b/>
        </w:rPr>
        <w:t>E. 3.2</w:t>
      </w:r>
    </w:p>
    <w:p>
      <w:r>
        <w:t>Weiter stützt das MIKA seine Haftanordnung auf Art. 76 Abs. 1 lit. b Ziff. 1 AIG i.V.m. Art. 75 Abs. 1 lit. g AIG, wonach eine Person in Haft genommen werden kann, wenn sie andere Personen ernsthaft bedroht oder an Leib und Leben erheblich gefährdet und deshalb strafrechtlich verfolgt wird oder verurteilt worden ist. Vom Haftgrund erfasst werden namentlich die strafbaren Handlungen gegen Leib und Leben, gegen die Freiheit und – teilweise – gegen die sexuelle Integrität (vgl. ANDREAS ZÜND, in: MARC SPESCHA/ANDREAS ZÜND/PETER BOLZLI/CONSTANTIN HRUSCHKA/FANNY DE WECK [Hrsg.], Kommentar Migrationsrecht, 5. Aufl., Zürich 2019, N. 11 zu Art. 75 AIG). Im Einzelfall muss die verlangte Ernsthaftigkeit der Drohung bzw. die erhebliche Gefährdung an Leib und Leben gegeben sein; Delikte mit bagatellcharakter reichen nicht aus (BGer 2C_293/2012 vom 18.04.2021 E. 4.3.). Das Migrationsamt begründet das Vorliegen des Haftgrundes damit, dass der Gesuchsgegner im Jahre 2018 u.a. wegen Widerhandlung gegen das Betäubungsmittelgesetz verurteilt worden ist. Entgegen der Auffassung des Gesuchstellers ist kein Risiko ersichtlich, wonach der Gesuchsgegner Personen an Leib und Leben erheblich gefährden wird und der Gesuchsteller begründet solches auch mit keinem Wort. Im vorliegenden Fall ist von Bedeutung, dass die begangenen Delikte bereits mehrere Jahre zurück liegen. Zudem hat der Gesuchsgegner in der der Zwischenzeit eine lange Massnahme mit Therapien hinter sich. Nachdem die Taten mehrere Jahre zurück liegen und der Gesuchsgegner offenkundig einen Reifungsprozess an den Tag gelegt hat, ist nicht von einer hinreichenden Gefahr auszugehen, welche eine Inhaftierung rechtfertigen könnte. Dem</w:t>
      </w:r>
    </w:p>
    <w:p>
      <w:r>
        <w:t>- 8 - Gesuchsteller ist nachdrücklich in Erinnerung zu rufen, dass es nicht angeht, einzig vorzubringen, ein Betroffener habe gegen das Betäubungsmittelgesetz verstossen, weshalb davon auszugehen sei, er gefährde Personen erheblich an Leib und Leben.</w:t>
      </w:r>
    </w:p>
    <w:p>
      <w:r>
        <w:rPr>
          <w:b/>
        </w:rPr>
        <w:t>E. 3.3</w:t>
      </w:r>
    </w:p>
    <w:p>
      <w:r>
        <w:t>Da zusammengefasst kein Haftgrund ersichtlich ist, ist die angeordnete Ausschaffungshaft nicht zu bestätigen und der Gesuchsgegner unverzüglich aus der Haft zu entlassen. 4. Anzufügen ist, dass im vorliegenden Fall die Haftanordnung auch deshalb nicht zu bestätigen wäre, weil sie gegen das Prinzip der Verhältnismässigkeit verstiesse, da sie aufgrund der Ausreisewilligkeit des Gesuchsgegners nicht notwendig erscheint. III.</w:t>
      </w:r>
    </w:p>
    <w:p>
      <w:r>
        <w:rPr>
          <w:b/>
        </w:rPr>
        <w:t>E. 4</w:t>
      </w:r>
    </w:p>
    <w:p>
      <w:r>
        <w:t>Die Sprechende sei als amtliche Vertreterin für das vorliegende Verfahren zu bestellen und zu entschädigen.</w:t>
      </w:r>
    </w:p>
    <w:p>
      <w:r>
        <w:rPr>
          <w:b/>
        </w:rPr>
        <w:t>E. 5</w:t>
      </w:r>
    </w:p>
    <w:p>
      <w:r>
        <w:t>Unter Kosten- und Entschädigungsfolgen zu Lasten des Staates.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die Gesuchsgegner am 12. Dezember 2022, 11.00 Uhr, aus dem Strafvollzug entlassen und ab diesem Zeitpunkt im Rahmen der bereits angeordneten Ausschaffungshaft inhaftiert. Die mündliche Verhandlung begann am 15. Dezember 2022, 14.00 Uhr; das Urteil wurde um 14.55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 Zuständige kantonale Behörde im Sinne von Art. 76 Abs. 1 AIG ist gemäss § 13 Abs. 1 EGAR sowie § 91a der Verordnung über den Vollzug von Strafen und Massnahmen vom 9. Juli 2003 (SMV; SAR 253.111) das MIKA. Im vorliegenden Fall wurde die Haftanordnung durch das MIKA und damit durch die zuständige Behörde erlassen (act. 1 ff.).</w:t>
      </w:r>
    </w:p>
    <w:p>
      <w:r>
        <w:t>- 5 - 2.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