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WPR.2022.88 vom 5. Dezember 2022</w:t>
      </w:r>
    </w:p>
    <w:p>
      <w:r>
        <w:t>AG Verwaltungsgericht, 2022-12-05, DE</w:t>
      </w:r>
    </w:p>
    <w:p>
      <w:r>
        <w:rPr>
          <w:b/>
        </w:rPr>
        <w:t xml:space="preserve">Quelle: </w:t>
      </w:r>
      <w:r>
        <w:t>https://mcp.opencaselaw.ch/entscheid/ag_verwaltungsgericht_WPR.2022.88</w:t>
      </w:r>
    </w:p>
    <w:p>
      <w:r>
        <w:t>FR: AG_VERWALTUNGSGERICHT WPR.2022.88 du 5 décembre 2022</w:t>
      </w:r>
    </w:p>
    <w:p>
      <w:r>
        <w:t>IT: AG_VERWALTUNGSGERICHT WPR.2022.88 del 5 dicembre 2022</w:t>
      </w:r>
    </w:p>
    <w:p>
      <w:pPr>
        <w:pStyle w:val="Heading2"/>
      </w:pPr>
      <w:r>
        <w:t>Erwägungen</w:t>
      </w:r>
    </w:p>
    <w:p>
      <w:r>
        <w:rPr>
          <w:b/>
        </w:rPr>
        <w:t>E. 2</w:t>
      </w:r>
    </w:p>
    <w:p>
      <w:r>
        <w:t>Die Haft begann am 1. Dezember 2022, 00.15 Uhr.</w:t>
      </w:r>
    </w:p>
    <w:p>
      <w:r>
        <w:rPr>
          <w:b/>
        </w:rPr>
        <w:t>E. 3</w:t>
      </w:r>
    </w:p>
    <w:p>
      <w:r>
        <w:t>Eventuell: Es sei als Ersatzmassnahme dem Gesuchsgegner die Auflage zu erteilen, sich regelmässig bei einer richterlich zu bestimmenden Amtsstelle zu melden.</w:t>
      </w:r>
    </w:p>
    <w:p>
      <w:r>
        <w:rPr>
          <w:b/>
        </w:rPr>
        <w:t>E. 4</w:t>
      </w:r>
    </w:p>
    <w:p>
      <w:r>
        <w:t>Es sei der unterzeichnende Rechtsanwalt als amtlicher Rechtsvertreter zu bestätigen und aus der Gerichtskasse zu entschädigen.</w:t>
      </w:r>
    </w:p>
    <w:p>
      <w:r>
        <w:rPr>
          <w:b/>
        </w:rPr>
        <w:t>E. 5</w:t>
      </w:r>
    </w:p>
    <w:p>
      <w:r>
        <w:t>Es liegen auch keine Anzeichen dafür vor, dass das MIKA dem Beschleunigungsgebot nicht ausreichend Beachtung geschenkt hätte.</w:t>
      </w:r>
    </w:p>
    <w:p>
      <w:r>
        <w:rPr>
          <w:b/>
        </w:rPr>
        <w:t>E. 6</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Entgegen der Vorbingen des Rechtsvertreters des Gesuchsgegners ist eine Meldepflicht nicht geeignet, die ordnungsgemässe Rückkehr in den für den Gesuchsgegner zuständigen Dublin-Staat sicherzustellen.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w:t>
      </w:r>
    </w:p>
    <w:p>
      <w:r>
        <w:rPr>
          <w:b/>
        </w:rPr>
        <w:t>E. 7</w:t>
      </w:r>
    </w:p>
    <w:p>
      <w:r>
        <w:t>Das MIKA ordnete die Administrativhaft gestützt auf Art. 76a Abs. 3 lit. a AIG für zunächst maximal sieben Wochen an (act. 1 ff.). Dies ist nicht zu beanstanden. Nach Eröffnung des Wegweisungsentscheides erfolgt die weitere Inhaftierung des Gesuchsgegners bis zur Rücküberführung gestützt auf Art. 76a Abs. 3 lit. c AIG (Wegweisungsvollzug) und dauert längstens sechs Wochen. Den Übergang in die Verfahrensphase des Wegweisungsvollzugs hat das MIKA mittels Feststellungsverfügung anzuzeigen. Weigert sich der Gesuchsgegner im Rahmen des Wegweisungsvollzugs überdies, ein Transportmittel zur Durchführung der Überstellung in den zuständigen Dublin-Staat zu besteigen, oder verhindert er auf eine andere Art und Weise durch sein persönliches Verhalten die Überstellung, kann gemäss Art. 76a Abs. 4 AIG Renitenzhaft angeordnet werden. Die gemäss nationalem Recht geltende Höchstdauer der Haft von drei Monaten darf nach bundesgerichtlicher Rechtsprechung jedoch nicht ausgeschöpft werden (Urteil des Bundesgerichts 2C_610/2021 vom 11. März 2022, Erw. 4 ff.). Nachdem das Bundesgericht offengelassen hat, welche Haftdauer</w:t>
      </w:r>
    </w:p>
    <w:p>
      <w:r>
        <w:t>- 8 - insgesamt zulässig ist, wird aufgrund des konkreten Einzelfalls zu bestimmen sein, für wie lange Renitenzhaft angeordnet werden darf.</w:t>
      </w:r>
    </w:p>
    <w:p>
      <w:r>
        <w:rPr>
          <w:b/>
        </w:rPr>
        <w:t>E. 8</w:t>
      </w:r>
    </w:p>
    <w:p>
      <w:r>
        <w:t>Es bestehen überdies keine Anzeichen dafür, dass die für die Rückführung des Gesuchsgegners nach Schweden notwendigen Schritte nicht innert der jeweils maximal zulässigen Haftdauer abgeschlossen werden könnten und die Haft gemäss Art. 80a Abs. 7 lit. a AIG zu beenden wäre.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