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WPR.2022.86 vom 9. Dezember 2022</w:t>
      </w:r>
    </w:p>
    <w:p>
      <w:r>
        <w:t>AG Verwaltungsgericht, 2022-12-09, DE</w:t>
      </w:r>
    </w:p>
    <w:p>
      <w:r>
        <w:rPr>
          <w:b/>
        </w:rPr>
        <w:t xml:space="preserve">Quelle: </w:t>
      </w:r>
      <w:r>
        <w:t>https://mcp.opencaselaw.ch/entscheid/ag_verwaltungsgericht_WPR.2022.86</w:t>
      </w:r>
    </w:p>
    <w:p>
      <w:r>
        <w:t>FR: AG_VERWALTUNGSGERICHT WPR.2022.86 du 9 décembre 2022</w:t>
      </w:r>
    </w:p>
    <w:p>
      <w:r>
        <w:t>IT: AG_VERWALTUNGSGERICHT WPR.2022.86 del 9 dicembre 2022</w:t>
      </w:r>
    </w:p>
    <w:p>
      <w:pPr>
        <w:pStyle w:val="Heading2"/>
      </w:pPr>
      <w:r>
        <w:t>Erwägungen</w:t>
      </w:r>
    </w:p>
    <w:p>
      <w:r>
        <w:rPr>
          <w:b/>
        </w:rPr>
        <w:t>E. 2</w:t>
      </w:r>
    </w:p>
    <w:p>
      <w:r>
        <w:t>November 2022), als nicht zwingend, zumal der Gesuchsgegner bereits eine frühere Ausreisefrist verstreichen liess und sich vorliegend weigert, selbständig auszureisen.</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 12. September 2022 festgestellt wurde, liegt mit Urteil des Bezirksgerichts Kulm vom 23. Februar 2021 ein rechtskräftiger Wegweisungsentscheid gegen den Gesuchsgegner vor (Entscheid des Verwaltungsgerichts WPR.2022.60 vom 12. September 2022, Erw. II/2.2.; MI-act. 405).</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Ml-act. 18 ff.) bzw. 19. Mai 2017 (Neuansetzung Ausreisefrist; Ml-act. 38 f.) verlassen müs- sen. In der Folge lief die dem Gesuchsgegner angesetzte Frist am 19. Mai 2017 ab, ohne dass dieser aus der Schweiz ausgereist wäre. Offensichtlich war der Gesuchsgegner zwischen dem 22. Juli 2020 und seiner Rückführung aus der Niederlande vom 12. Januar 2021 dennoch aus der Schweiz ausgereist. Zwar hatte der Gesuchsgegner, nachdem er mit rechtskräftigem Urteil des Bezirksgerichts Kulm vom 23. Februar 2021 im Sinne von Art. 66a StGB des Landes verwiesen wurde, keine Möglichkeit, die Schweiz selbständig zu verlassen, da er seit dem Urteil im Strafvollzug war und unmittelbar anschliessend in Administrativhaft genommen wurde. Die Einräumung einer Ausreisemöglichkeit erweist sich</w:t>
      </w:r>
    </w:p>
    <w:p>
      <w:r>
        <w:t>- 8 - jedoch, in analoger Anwendung der bundesgerichtlichen Rechtsprechung zu unmittelbar an eine Ausschaffungshaft anschliessende Durchsetzungshaft (Urteil des Bundesgerichts 2C_712/2022 vom</w:t>
      </w:r>
    </w:p>
    <w:p>
      <w:r>
        <w:rPr>
          <w:b/>
        </w:rPr>
        <w:t>E. 2.4</w:t>
      </w:r>
    </w:p>
    <w:p>
      <w:r>
        <w:t>Weiter wird vorausgesetzt, dass die Weg- oder Ausweisung auf Grund des persönlichen Verhaltens des Betroffenen nicht vollzogen werden kann. Auch diese Voraussetzung ist vorliegend erfüllt, da der Gesuchsgegner nach wie vor weder bereit ist, freiwillig in seinen Herkunftsstaat zurückzukehren, noch bei der Beschaffung von Reisedokumenten mitzuwirken (MI-act. 454), womit die Unmöglichkeit des Wegweisungsvollzugs nach wie vor in seinem persönlichen Verhalten begründet liegt. Daran vermag das in offenkundiger Wiederholung vorgebrachte Argument des Rechtsvertreters des Gesuchsgegners, wonach dieser "quasi" staatenlos sei und nicht gezwungen werden könne, Reisepapiere zu beschaffen, die man gar nicht beschaffen könne (act. 10 f.), nichts zu ändern. Es ist nochmals darauf hinzuweisen, dass die Republik Mali den Gesuchsgegner bisher nur deshalb nicht anerkannt hatte, weil er sich anlässlich den bisherigen Befragungen gänzlich weigerte, mit der malischen Delegation zu kooperieren (Ml-act. 246). Deshalb ist nach wie vor davon auszugehen, dass die Behauptungen des Gesuchsgegners, keine Papiere beschaffen zu können bzw. bei der Geburt in keinem Westafrikanischen Land registriert worden zu sein, lediglich vorgeschoben sind.</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Bisher hat keine der angefragten Delegationen den Gesuchsgegner anerkannt. Der erneut an die Republik Mali gerichtete Identifizierungsantrag vom 20. Oktober 2022 ist noch offen und wird gemäss Mitteilung des SEM nicht in absehbarer Zeit beantwortet werden (MI-act. 436). Folglich konnten für den Gesuchsgegner keine Ersatzreisedokumente ausgestellt werden, was seine Ausreise momentan verunmöglicht.</w:t>
      </w:r>
    </w:p>
    <w:p>
      <w:r>
        <w:t>- 9 - Da der Gesuchsgegner in absehbarer Zeit nicht gegen seinen Willen ausgeschafft werden kann, bestehen nach wie vor keine Vollzugsperspektiven, womit die Anordnung einer Ausschaffungshaft unzulässig ist (vgl. Art. 80 Abs. 6 lit. a AIG).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drei Monaten in Durchsetzungshaft im Sinne von Art. 78 AIG (Durchsetzungshaft 10. September 2022 – 9. Dezember 2022). Die sechsmonatige Frist wird damit am 9. März 2023 enden und die Haft kann längstens bis zum 9. März 2024 verlängert werden.</w:t>
      </w:r>
    </w:p>
    <w:p>
      <w:r>
        <w:rPr>
          <w:b/>
        </w:rPr>
        <w:t>E. 5.3</w:t>
      </w:r>
    </w:p>
    <w:p>
      <w:r>
        <w:t>Das MIKA ordnete mit Verfügung vom 30. November 2022 die Verlängerung der Durchsetzungshaft um weitere zwei Monate, d.h. bis zum</w:t>
      </w:r>
    </w:p>
    <w:p>
      <w:r>
        <w:rPr>
          <w:b/>
        </w:rPr>
        <w:t>E. 9</w:t>
      </w:r>
    </w:p>
    <w:p>
      <w:r>
        <w:t>Februar 2023, 12.00 Uhr, an.</w:t>
      </w:r>
    </w:p>
    <w:p>
      <w:r>
        <w:t>- 10 -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Soweit der Gesuchsgegner vorbringt, er werde keinesfalls ausreisen, ist Folgendes festzuhalten: Auch wenn die Chance, dass der Gesuchsgegner sein Verhalten ändern wird, als minimal bezeichnet werden muss, wird sich zeigen müssen, ob er mit der Anordnung der Durchsetzungshaft effektiv nicht zur Einsicht gebracht werden kann, bei der Papierbeschaffung zu kooperieren oder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w:t>
      </w:r>
    </w:p>
    <w:p>
      <w:r>
        <w:t>- 11 - Insgesamt sind keinerlei Gründe ersichtlich, welche die angeordnete Haft als unverhältnismässig erscheinen liessen. III. 1. Gemäss § 28 Abs. 1 EGAR ist das Verfahren betreffend Haftüberprüfung unentgeltlich. Demgemäss werden keine Kosten erhoben. 2. Der mit Urteil vom 12. September 2022 bestätigte amtliche Rechtsvertreter bleibt im Amt und kann seine Kostennote im Rahmen des Verfahrens WPR.2022.69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