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WPR.2022.74 vom 21. Oktober 2022</w:t>
      </w:r>
    </w:p>
    <w:p>
      <w:r>
        <w:t>AG Verwaltungsgericht, 2022-10-21, DE</w:t>
      </w:r>
    </w:p>
    <w:p>
      <w:r>
        <w:rPr>
          <w:b/>
        </w:rPr>
        <w:t xml:space="preserve">Quelle: </w:t>
      </w:r>
      <w:r>
        <w:t>https://mcp.opencaselaw.ch/entscheid/ag_verwaltungsgericht_WPR.2022.74</w:t>
      </w:r>
    </w:p>
    <w:p>
      <w:r>
        <w:t>FR: AG_VERWALTUNGSGERICHT WPR.2022.74 du 21 octobre 2022</w:t>
      </w:r>
    </w:p>
    <w:p>
      <w:r>
        <w:t>IT: AG_VERWALTUNGSGERICHT WPR.2022.74 del 21 ottobre 2022</w:t>
      </w:r>
    </w:p>
    <w:p>
      <w:pPr>
        <w:pStyle w:val="Heading2"/>
      </w:pPr>
      <w:r>
        <w:t>Erwägungen</w:t>
      </w:r>
    </w:p>
    <w:p>
      <w:r>
        <w:rPr>
          <w:b/>
        </w:rPr>
        <w:t>E. 2</w:t>
      </w:r>
    </w:p>
    <w:p>
      <w:r>
        <w:t>Die Haft begann am 18. Oktober 2022, 15.57 Uhr. Sie wird in Anwendung von Art. 76 AIG für drei Monate bis zum 17. Januar 2023, 12.00 Uhr, angeordnet.</w:t>
      </w:r>
    </w:p>
    <w:p>
      <w:r>
        <w:rPr>
          <w:b/>
        </w:rPr>
        <w:t>E. 2.1</w:t>
      </w:r>
    </w:p>
    <w:p>
      <w:r>
        <w:t>Das MIKA begründet seine Haftanordnung damit, dass es die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Bundesamt für Zoll und Grenzsicherheit verfügte am 7. Juli 2022 die Wegweisung aus der Schweiz und setzte eine Ausreisefrist bis zum 18. Juli 2022 (MI-act. 18 ff.).</w:t>
      </w:r>
    </w:p>
    <w:p>
      <w:r>
        <w:rPr>
          <w:b/>
        </w:rPr>
        <w:t>E. 2.3</w:t>
      </w:r>
    </w:p>
    <w:p>
      <w:r>
        <w:t>Gemäss Art. 80 Abs. 6 lit. a AIG ist die Haft zu beenden, wenn sich erweist, dass der Vollzug der Wegweisung aus rechtlichen oder tatsächlichen Gründen undurchführbar ist. Anzeichen, die an der Ausschaffungsmöglichkeit in rechtlicher oder tatsächlicher Hinsicht Zweifel aufkommen lassen würden, sind ebenfalls keine ersichtlich.</w:t>
      </w:r>
    </w:p>
    <w:p>
      <w:r>
        <w:rPr>
          <w:b/>
        </w:rPr>
        <w:t>E. 3</w:t>
      </w:r>
    </w:p>
    <w:p>
      <w:r>
        <w:t>Unter Kosten- und Entschädigungsfolgen. Die Einzelrichterin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die Gesuchsgegner am 18. Oktober 2022, 15.57 Uhr, angehalten. Die mündliche Verhandlung begann am 21. Oktober 2022, 09.00 Uhr; das Urteil wurde um 09.30 Uhr eröffnet. Die richterliche Haftüberprüfung erfolgte somit innerhalb der Frist von 96 Stunden. II. 1. Wurde ein erstinstanzlicher Weg- oder Ausweisungsentscheid eröffnet oder wurde die betroffene Person mit einer Landesverweisung belegt, kann</w:t>
      </w:r>
    </w:p>
    <w:p>
      <w:r>
        <w:t>- 4 - die zuständige kantonale Behörde die betroffene Person zur Sicherstellung des Vollzugs in Haft nehmen (Art. 76 AIG). Zuständige kantonale Behörde im Sinne von Art. 76 Abs. 1 AIG ist gemäss § 13 Abs. 1 EGAR sowie § 91a der Verordnung über den Vollzug von Strafen und Massnahmen vom 9. Juli 2003 (SMV; SAR 253.111)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w:t>
      </w:r>
    </w:p>
    <w:p>
      <w:r>
        <w:t>- 5 -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Gegen den Gesuchsgegner liegt ein rechtskräftiger Wegweisungsentscheid vor (MI-act. 18 ff.). Gemäss dieser Wegweisungsverfügung hätte er die Schweiz bis 18. Juli 2022 verlassen müssen. Nachdem der Gesuchsgegner die Schweiz nicht innerhalb der angesetzten Frist verlassen hatte, wurde ihm eine neue Ausreisefrist bis zum 6. September 2022 gesetzt (MI-act. 36). Auch diese Frist liess er unbenutzt verstreichen. Durch die rechtswidrige Einreise und die beharrliche Missachtung der Wegweisung hat sich der Gesuchsgegner behördlichen Anweisungen widersetzt, was als Indiz für das Vorliegen der Untertauchensgefahr zu werten ist. Zwar erklärt sich der Gesuchsgegner anlässlich der heutigen Verhandlung bereit, freiwillig auszureisen (Protokoll S. 3, act. 30). Jedoch kann diesen Aussagen kein Glauben geschenkt werden, zumal der Gesuchsgegner in der Vergangenheit die Schweiz trotz Aufforderung nicht verlassen und beide Ausreisefristen unbenutzt verstreichen lassen hat. Sein Argument, weder er noch seine Freundin hätten Geld für ein Flugticket gehabt, erscheint unglaubhaft und ist als Schutzbehauptung zu qualifizieren. Unter diesen Umständen steht fest, dass der Gesuchsgegner mit seinem bisherigen Verhalten klare Anzeichen für eine Untertauchensgefahr gesetzt hat, und es ist nicht davon auszugehen, dass er nach einer Entlassung aus</w:t>
      </w:r>
    </w:p>
    <w:p>
      <w:r>
        <w:t>- 6 - der Ausschaffungshaft die Schweiz freiwillig verlassen würde. Damit ist der Haftgrund von Art. 76 Abs. 1 lit. b Ziff. 3 und 4 AIG erfüllt.</w:t>
      </w:r>
    </w:p>
    <w:p>
      <w:r>
        <w:rPr>
          <w:b/>
        </w:rPr>
        <w:t>E. 4</w:t>
      </w:r>
    </w:p>
    <w:p>
      <w:r>
        <w:t>Bezüglich der Haftbedingungen liegen keine Beanstandungen vor, die geeignet wären, die Haft als unverhältnismässig zu bezeichnen (Protokoll S. 3, act. 30).</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3 Monate an. Nachdem der Vollzug der Rückführung massgeblich vom Verhalten der Gesuchsgegner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Die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Den Gesuchsgegnern ist gemäss § 27 Abs. 2 EGAR zwingend ein amtlicher Rechtsvertreter zu bestellen, da der Gesuchsteller eine Haft für eine Dauer von mehr als 30 Tagen anordnete. Die Vertreterin der Gesuchsgegner wird aufgefordert, nach Haftentlassung der Gesuchsgegner ihre Kostennote einzureichen.</w:t>
      </w:r>
    </w:p>
    <w:p>
      <w:r>
        <w:t>- 7 - IV. 1. Die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den Gesuchsgegnern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