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WPR.2022.71 vom 13. Oktober 2022</w:t>
      </w:r>
    </w:p>
    <w:p>
      <w:r>
        <w:t>AG Verwaltungsgericht, 2022-10-13, DE</w:t>
      </w:r>
    </w:p>
    <w:p>
      <w:r>
        <w:rPr>
          <w:b/>
        </w:rPr>
        <w:t xml:space="preserve">Quelle: </w:t>
      </w:r>
      <w:r>
        <w:t>https://mcp.opencaselaw.ch/entscheid/ag_verwaltungsgericht_WPR.2022.71</w:t>
      </w:r>
    </w:p>
    <w:p>
      <w:r>
        <w:t>FR: AG_VERWALTUNGSGERICHT WPR.2022.71 du 13 octobre 2022</w:t>
      </w:r>
    </w:p>
    <w:p>
      <w:r>
        <w:t>IT: AG_VERWALTUNGSGERICHT WPR.2022.71 del 13 ottobre 2022</w:t>
      </w:r>
    </w:p>
    <w:p>
      <w:pPr>
        <w:pStyle w:val="Heading2"/>
      </w:pPr>
      <w:r>
        <w:t>Erwägungen</w:t>
      </w:r>
    </w:p>
    <w:p>
      <w:r>
        <w:rPr>
          <w:b/>
        </w:rPr>
        <w:t>E. 2</w:t>
      </w:r>
    </w:p>
    <w:p>
      <w:r>
        <w:t>Die Haft begann am 11. Oktober 2022, 07.00 Uhr. Sie wird in Anwendung von Art. 76 AIG für drei Monate bis zum 10. Januar 2023, 12.00 Uhr, angeordnet.</w:t>
      </w:r>
    </w:p>
    <w:p>
      <w:r>
        <w:rPr>
          <w:b/>
        </w:rPr>
        <w:t>E. 2.1</w:t>
      </w:r>
    </w:p>
    <w:p>
      <w:r>
        <w:t>Das MIKA begründet seine Haftanordnung damit, dass es die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Nachdem der Nichteintretens- und Wegweisungsentscheid des SEM vom 27. Oktober 2021 inzwischen in Rechtskraft erwachsen ist (MI-act. 39 ff.), liegt nicht nur ein erstinstanzlicher, sondern ein bereits rechtskräftiger Wegweisungsentscheid gegen die Gesuchsgegnerin vor.</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3.</w:t>
      </w:r>
    </w:p>
    <w:p>
      <w:r>
        <w:rPr>
          <w:b/>
        </w:rPr>
        <w:t>E. 3</w:t>
      </w:r>
    </w:p>
    <w:p>
      <w:r>
        <w:t>Eventualiter wird die Haft in Anwendung von Art. 77 AIG für 60 Tage angeordnet.</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w:t>
      </w:r>
    </w:p>
    <w:p>
      <w:r>
        <w:t>- 6 -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w:t>
      </w:r>
    </w:p>
    <w:p>
      <w:r>
        <w:rPr>
          <w:b/>
        </w:rPr>
        <w:t>E. 3.2</w:t>
      </w:r>
    </w:p>
    <w:p>
      <w:r>
        <w:t>Die Gesuchsgegnerin hatte anlässlich des rechtlichen Gehörs vom 11. Oktober 2022 betreffend die Anordnung einer Ausschaffungshaft zu Protokoll gegeben, nicht bereit zu sein, nach Libanon zurückzukehren. Folglich ist davon auszugehen, dass sie sich auf freien Fuss entlassen, der Rücküberstellung nach Libanon entziehen würde. Daran vermag auch nichts zu ändern, dass die Gesuchsgegnerin im Rahmen der heutigen Verhandlung erklärte, die Schweiz freiwillig nach Libanon zu verlassen. In Anbetracht der vorangegangenen Aussagen und ihrem Schlusswort, dass sie vom Libanon aus ihrer Tochter nicht helfen könne, erscheint diese Aussage unglaubhaft und ist – entgegen der Auffassung der Rechtsvertreterin – als Schutzbehauptung zu qualifizieren. Kommt hinzu, dass die Gesuchsgegnerin den ersten Flug am 29. September 2022 (MI- act. 117) nicht angetreten hat. Anzumerken ist, dass die Gesuchsgegnerin damit droht, dass sie während der Haft weiterhin nichts essen werde (Protokoll S. 3, act. 37). Dies zeigt, dass sie nicht bereit ist, behördliche Anweisungen zu akzeptieren.</w:t>
      </w:r>
    </w:p>
    <w:p>
      <w:r>
        <w:rPr>
          <w:b/>
        </w:rPr>
        <w:t>E. 4</w:t>
      </w:r>
    </w:p>
    <w:p>
      <w:r>
        <w:t>Bezüglich der Haftbedingungen liegen keine Beanstandungen vor, die geeignet wären, die Haft als unverhältnismässig zu bezeichnen (Protokoll S. 3, act. 37).</w:t>
      </w:r>
    </w:p>
    <w:p>
      <w:r>
        <w:rPr>
          <w:b/>
        </w:rPr>
        <w:t>E. 5</w:t>
      </w:r>
    </w:p>
    <w:p>
      <w:r>
        <w:t>Es liegen auch keine Anzeichen dafür vor, dass das MIKA dem Beschleunigungsgebot (Art. 76 Abs. 4 AIG) nicht ausreichend Beachtung geschenkt hätte.</w:t>
      </w:r>
    </w:p>
    <w:p>
      <w:r>
        <w:t>- 7 -</w:t>
      </w:r>
    </w:p>
    <w:p>
      <w:r>
        <w:rPr>
          <w:b/>
        </w:rPr>
        <w:t>E. 6</w:t>
      </w:r>
    </w:p>
    <w:p>
      <w:r>
        <w:t>Das MIKA ordnete die Ausschaffungshaft für 3 Monate an. Nachdem der Vollzug der Rückführung massgeblich vom Verhalten der Gesuchsgegner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nicht ersichtlich. Bezüglich der familiären Verhältnisse ergeben sich keine Anhaltspunkte, welche gegen eine Haftanordnung sprechen würden. Die Gesuchsgegner macht auch nicht geltend, sie sei nicht hafterstehungsfähig. Insgesamt sind keinerlei Gründe ersichtlich, welche die angeordnete Haft als unverhältnismässig erscheinen liessen. III. 1. Gemäss § 28 Abs. 1 EGAR ist das Verfahren betreffend Haftüberprüfung unentgeltlich. Demgemäss werden keine Kosten erhoben. 2. Den Gesuchsgegnern ist gemäss § 27 Abs. 2 EGAR zwingend ein amtlicher Rechtsvertreter zu bestellen, da der Gesuchsteller eine Haft für eine Dauer von mehr als 30 Tagen anordnete. Die Vertreterin der Gesuchsgegner wird aufgefordert, nach Haftentlassung der Gesuchsgegner ihre Kostennote einzureichen. IV. 1. Die Gesuchsgegner wird darauf hingewiesen, dass ein Haftentlassungsgesuch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des rechtlichen Gehörs hat das MIKA den Gesuchsgegnern daher</w:t>
      </w:r>
    </w:p>
    <w:p>
      <w:r>
        <w:t>- 8 - die Frage zu unterbreiten, ob sie die Durchführung einer mündlichen Verhandlung wünscht und ob sie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