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WPR.2022.6 vom 24. Januar 2022</w:t>
      </w:r>
    </w:p>
    <w:p>
      <w:r>
        <w:t>AG Verwaltungsgericht, 2022-01-24, DE</w:t>
      </w:r>
    </w:p>
    <w:p>
      <w:r>
        <w:rPr>
          <w:b/>
        </w:rPr>
        <w:t xml:space="preserve">Quelle: </w:t>
      </w:r>
      <w:r>
        <w:t>https://mcp.opencaselaw.ch/entscheid/ag_verwaltungsgericht_WPR.2022.6</w:t>
      </w:r>
    </w:p>
    <w:p>
      <w:r>
        <w:t>FR: AG_VERWALTUNGSGERICHT WPR.2022.6 du 24 janvier 2022</w:t>
      </w:r>
    </w:p>
    <w:p>
      <w:r>
        <w:t>IT: AG_VERWALTUNGSGERICHT WPR.2022.6 del 24 gennaio 2022</w:t>
      </w:r>
    </w:p>
    <w:p>
      <w:pPr>
        <w:pStyle w:val="Heading2"/>
      </w:pPr>
      <w:r>
        <w:t>Erwägungen</w:t>
      </w:r>
    </w:p>
    <w:p>
      <w:r>
        <w:rPr>
          <w:b/>
        </w:rPr>
        <w:t>E. 2</w:t>
      </w:r>
    </w:p>
    <w:p>
      <w:r>
        <w:t>Die Haft begann am 21. Januar 2022, 10.45 Uhr. Sie wird in Anwendung von Art. 76 AIG für zwei Monate bis zum 20. März 2022, 10.45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vom 21. Dezember 2021 hat das Obergericht des Kantons Aargau den Gesuchsgegner gestützt auf Art. 66a Abs. 1 lit. b StGB für zehn Jahre des Landes verwiesen (MI-act. 22 ff.). Die ausgesprochene Landesverweisung ist in Rechtskraft erwachsen (MI-act. 35), womit eine rechtsgenügliche Landesverweisung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der Gesuchsgegner über eine italienische Identitätskarte und einen albanischen Reisepass verfügt (MI-act. 1) und am 19. Januar 2022 ein Rückübernahmeersuchen an die italienischen Behörden gestellt wurde, sodass in absehbarer Zeit mit der Zustimmung der italienischen Behörden zu rechnen ist (Protokoll S. 3, act. 40). Zudem bestehen gemäss Angaben des MIKA trotz der Covid-19-Pandemie auch regelmässige Flugverbindungen nach Albanien (act. 2). Damit stehen dem Wegweisungsvollzug zum heutigen Zeitpunkt keine Hindernisse entgegen.</w:t>
      </w:r>
    </w:p>
    <w:p>
      <w:r>
        <w:rPr>
          <w:b/>
        </w:rPr>
        <w:t>E. 3</w:t>
      </w:r>
    </w:p>
    <w:p>
      <w:r>
        <w:t>Unter Kosten- und Entschädigungsfolgen.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21. Januar 2022, 10.45 Uhr, aus dem Strafvollzug entlassen und gleichentags dem MIKA zugeführt. Die mündliche Verhandlung begann am 24. Januar 2022, 15.00 Uhr; das Urteil wurde um 15.20 Uhr eröffnet. Die richterliche Haftüberprüfung erfolgte somit innerhalb der Frist von 96 Stunden. II. 1. Wurde ein erstinstanzlicher Weg- oder Ausweisungsentscheid eröffnet oder wurde die betroffene Person mit einer Landesverweisung belegt, kann die zuständige kantonale Behörde die betroffene Person zur Sicherstellung des Vollzugs in Haft nehmen (Art. 76 AIG).</w:t>
      </w:r>
    </w:p>
    <w:p>
      <w:r>
        <w:t>- 4 - Zuständige kantonale Behörde im Sinne von Art. 76 Abs. 1 AIG ist gemäss § 13 Abs. 1 EGAR sowie § 91a der Verordnung über den Vollzug von Strafen und Massnahmen vom 9. Juli 2003 (SMV; SAR 253.111) das MIKA. Im vorliegenden Fall wurde die Haftanordnung durch das MIKA und damit durch die zuständige Behörde erlassen (act. 1 ff.). 2.</w:t>
      </w:r>
    </w:p>
    <w:p>
      <w:r>
        <w:rPr>
          <w:b/>
        </w:rPr>
        <w:t>E. 3.1</w:t>
      </w:r>
    </w:p>
    <w:p>
      <w:r>
        <w:t>Das MIKA stützt seine Haftanordnung unter anderem auf Art. 76 Abs. 1 lit. b Ziff. 1 AIG i.V.m. Art. 75 Abs. 1 lit. h AIG, wonach eine Person in Haft genommen werden kann, wenn sie wegen eines Verbrechens verurteilt worden ist. Verbrechen sind gemäss Art. 10 Abs. 2 StGB Taten, die mit</w:t>
      </w:r>
    </w:p>
    <w:p>
      <w:r>
        <w:t>- 5 - einer Freiheitsstrafe von mehr als drei Jahren bedroht sind. Für den Haftgrund nach Art. 76 Abs. 1 lit. b Ziff. 1 AIG i.V.m. Art. 75 Abs. 1 lit. h AIG ist erforderlich, dass eine rechtskräftige Verurteilung vorliegt (ANDREAS ZÜND, in: MARC SPESCHA/ANDREAS ZÜND/PETER BOLZLI/CONSTANTIN HRUSCHKA/FANNY DE WECK [Hrsg.], Kommentar Migrationsrecht, 5. Aufl., Zürich 2019, N. 12 zu Art. 75 AIG) Gemäss konstanter bundesgerichtlicher Rechtsprechung ist keine Prognose darüber erforderlich, ob sich der Ausländer dem Vollzug der Wegweisung tatsächlich entziehen wird, sondern das Gesetz vermutet dies aufgrund der schweren Straffälligkeit: Wer die Rechtsordnung im Rahmen eines Verbrechens missachtet hat, ist nach der gesetzlichen Vorgabe auch bereit, sich behördlichen Anordnungen im Zusammenhang mit seiner Ausschaffung zu entziehen (Urteile des Bundesgerichts 2C_455/2009 vom</w:t>
      </w:r>
    </w:p>
    <w:p>
      <w:r>
        <w:rPr>
          <w:b/>
        </w:rPr>
        <w:t>E. 3.2</w:t>
      </w:r>
    </w:p>
    <w:p>
      <w:r>
        <w:t>Nachdem ein Haftgrund vorliegt, kann offenbleiben, ob auch der Haftgrund von Art. 76 Abs. 1 lit. b Ziff. 1 AIG i.V.m. Art. 75 Abs. 1 lit. g AIG erfüllt ist. 4. Bezüglich der Haftbedingungen liegen keine Beanstandungen vor (Protokoll S. 3, act. 40).</w:t>
      </w:r>
    </w:p>
    <w:p>
      <w:r>
        <w:rPr>
          <w:b/>
        </w:rPr>
        <w:t>E. 5</w:t>
      </w:r>
    </w:p>
    <w:p>
      <w:r>
        <w:t>Gemäss Art. 76 Abs. 4 AIG sind die für den Vollzug der Wegweisung, Ausweisung oder Landesverweisung notwendigen Vorkehren umgehend zu treffen. Dieses sog. Beschleunigungsgebot gilt gemäss bundesgerichtlicher Rechtsprechung dann als verletzt, wenn von Behördenseite her während mehr als zwei Monaten keinerlei Vorkehren im Hinblick auf die Ausschaffung getroffen wurden und diese Verzögerung</w:t>
      </w:r>
    </w:p>
    <w:p>
      <w:r>
        <w:t>- 6 - nicht in erster Linie im Verhalten ausländischer Behörden oder des Betroffenen begründet liegt (BGE 139 I 206, Erw. 2.1 m.w.H.) Der Rechtsvertreter des Gesuchsgegners macht diesbezüglich geltend, das Beschleunigungsgebot sei vorliegend verletzt, weil es ein Kommunikationsproblem zwischen dem Obergericht, Amt für Justizvollzug und MIKA betreffend die Entlassung des Gesuchsgegners aus dem Strafvollzug gegeben habe, sodass das MIKA erst am 19. Januar 2022 über die geplante Haftentlassung am 21. Januar 2022 informiert worden sei und daher nicht früher eine kontrollierte Überstellung nach Italien habe planen können (act. 43 f.). Dieser Ansicht kann nicht gefolgt werden. Es mag zwar zutreffen, dass das MIKA aufgrund eines Kommunikationsproblems erst am 19. Januar 2022 vom Haftende des Gesuchsgegners erfahren hat, jedoch ist dieses Kommunikationsproblem nicht dem MIKA zuzurechnen. Insbesondere hat das MIKA, nachdem es am 19. Januar 2022 erfahren hatte, dass der Gesuchsgegner am 21. Januar 2022 aus dem Strafvollzug entlassen werde, die notwendigen Schritte für die Rückführung des Gesuchsgegners eingeleitet und ein Rückübernahmeersuchen an die italienischen Behörden gestellt. Selbst wenn es zu keinem Kommunikationsproblem zwischen den Behörden gekommen wäre, ist anzuführen, dass das MIKA frühestens am 21. Dezember 2021 mit der Organisation der Ausreise des Gesuchsgegners hätte beginnen können, nachdem das Obergericht über die zu vollziehende Freiheitsstrafe entschieden hatte (MI-act. 22 ff.). Nachdem seit dem Urteil des Obergerichts vom 21. Dezember 2021 noch keine zwei Monate vergangen sind, ist das Beschleunigungsgebot nicht verletzt.</w:t>
      </w:r>
    </w:p>
    <w:p>
      <w:r>
        <w:rPr>
          <w:b/>
        </w:rPr>
        <w:t>E. 6</w:t>
      </w:r>
    </w:p>
    <w:p>
      <w:r>
        <w:t>Das MIKA ordnete die Ausschaffungshaft für zwei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 ist entgegen der Auffassung des Rechtsvertreters des Gesuchsgegners – nicht ersichtlich. Da das Gesetz beim Haftgrund nach Art. 76 Abs. 1 lit. b Ziff. 1 AIG i.V.m.</w:t>
      </w:r>
    </w:p>
    <w:p>
      <w:r>
        <w:t>- 7 - Art. 75 Abs. 1 lit. h AIG unwiderlegbar eine Untertauchensgefahr vermutet, wäre die Gewährung der Möglichkeit einer selbstständigen Ausreise in Verbindung mit der Bestätigung der Ausreise durch Ausreisekarte keinesfalls zielführend.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(Aargauische Gerichts- und Verwaltungsentscheide [AGVE] 2009, S. 359, Erw. 4.4.3).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