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WPR.2022.56 vom 25. August 2022</w:t>
      </w:r>
    </w:p>
    <w:p>
      <w:r>
        <w:t>AG Verwaltungsgericht, 2022-08-25, DE</w:t>
      </w:r>
    </w:p>
    <w:p>
      <w:r>
        <w:rPr>
          <w:b/>
        </w:rPr>
        <w:t xml:space="preserve">Quelle: </w:t>
      </w:r>
      <w:r>
        <w:t>https://mcp.opencaselaw.ch/entscheid/ag_verwaltungsgericht_WPR.2022.56</w:t>
      </w:r>
    </w:p>
    <w:p>
      <w:r>
        <w:t>FR: AG_VERWALTUNGSGERICHT WPR.2022.56 du 25 août 2022</w:t>
      </w:r>
    </w:p>
    <w:p>
      <w:r>
        <w:t>IT: AG_VERWALTUNGSGERICHT WPR.2022.56 del 25 agosto 2022</w:t>
      </w:r>
    </w:p>
    <w:p>
      <w:pPr>
        <w:pStyle w:val="Heading2"/>
      </w:pPr>
      <w:r>
        <w:t>Erwägungen</w:t>
      </w:r>
    </w:p>
    <w:p>
      <w:r>
        <w:rPr>
          <w:b/>
        </w:rPr>
        <w:t>E. 2</w:t>
      </w:r>
    </w:p>
    <w:p>
      <w:r>
        <w:t>Die Haft begann am 22. August 22, 18.15 Uhr. Sie wird in Anwendung von Art. 76 AIG für drei Monate angeordnet.</w:t>
      </w:r>
    </w:p>
    <w:p>
      <w:r>
        <w:t>- 3 -</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die Gesuchsgegnerin mit Verfügung vom 22. August 2022 unter Anordnung der sofortigen Vollstreckbarkeit aus der Schweiz, dem Schengen-Raum sowie der Europäischen Union weggewiesen (MI- act. 43 ff.). Diese Verfügung wurde der Gesuchsgegnerin gleichentags um 10.40 Uhr eröffnet (MI-act. 46), womit ein rechtsgenüglicher Weg- weisungsentscheid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t>- 5 -</w:t>
      </w:r>
    </w:p>
    <w:p>
      <w:r>
        <w:rPr>
          <w:b/>
        </w:rPr>
        <w:t>E. 3</w:t>
      </w:r>
    </w:p>
    <w:p>
      <w:r>
        <w:t>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EGAR). Die Haftüberprüfungsfrist beginnt mit der ausländerrechtlich motivierten Anhaltung der betroffenen Person zu laufen (vgl. BGE 127 II 174, Erw. 2. b/aa). 2. Im vorliegenden Fall wurde die Gesuchsgegnerin am 22. August 2022, 18.15 Uhr, aus der vorläufigen Festnahme entlassen und unmittelbar danach durch das MIKA in Ausschaffungshaft genommen. Die mündliche Verhandlung begann am 25. August 2022, 8.55 Uhr; das Urteil wurde um</w:t>
      </w:r>
    </w:p>
    <w:p>
      <w:r>
        <w:t>- 4 - 9.40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Die Gesuchsgegnerin wies sich anlässlich der Kontrolle durch die Kantonspolizei Aargau mit gefälschten italienischen Ausweispapieren aus (MI-act. 25). Wer eine falsche Identität oder einen gefälschten Ausweis verwendet, bietet gemäss ständiger Praxis des Verwaltungsgerichts wie auch des Bundesgerichts keine Gewähr für eine selbstständige Ausreise (vgl. Entscheid des Verwaltungsgerichts WPR.2016.49 vom 21. März 2016, Erw. 3.2 sowie BGE 122 II 49, Erw. 2a). Dementsprechend ist in diesen Fällen die Gefahr des Untertauchens regelmässig zu bejahen.</w:t>
      </w:r>
    </w:p>
    <w:p>
      <w:r>
        <w:t>- 6 - Die Gesuchsgegnerin äusserte sich zwar anlässlich der Gewährung des rechtlichen Gehörs betreffend die Anordnung einer Ausschaffungshaft gegenüber dem MIKA sowie anlässlich der heutigen Verhandlung dahingehend, dass sie bereit sei, die Schweiz in Richtung Kosovo zu verlassen (MI-act. 53; Protokoll S. 3, act. 38). Die Gesuchsgegnerin hat jedoch bis anhin keine gültigen Ausweispapiere beschaffen können und stellt sich im Rahmen der heutigen Verhandlung auf den Standpunkt, ihre kosovarische Identitätskarte sei vernichtet worden (Protokoll S. 3, act. 38). Angesichts ihres bisherigen Verhaltens, insbesondere vor dem Hintergrund der Verwendung gefälschter Ausweise und dem Nachgehen einer unbewilligten Erwerbstätigkeit, erscheint die geäusserte Bereitschaft zur freiwilligen Ausreise indes als blosse Schutzbehauptung, um die drohende Ausschaffungshaft abzuwenden und ist deshalb als unglaubhaft zu qualifizieren. Auch das Vorbringen der Gesuchsgegnerin, sie sei von der Echtheit der italienischen Dokumente ausgegangen (MI-act. 52; act. 41), ist schlicht unglaubhaft und es ist nicht weiter darauf einzugehen. Unter diesen Umständen steht fest, dass die Gesuchsgegnerin mit ihrem bisherigen Verhalten klare Anzeichen für eine Untertauchensgefahr gesetzt hat. Damit ist der Haftgrund von Art. 76 Abs. 1 lit. b Ziff. 3 und 4 AIG erfüllt.</w:t>
      </w:r>
    </w:p>
    <w:p>
      <w:r>
        <w:rPr>
          <w:b/>
        </w:rPr>
        <w:t>E. 4</w:t>
      </w:r>
    </w:p>
    <w:p>
      <w:r>
        <w:t>Bezüglich der Haftbedingungen liegen keine Beanstandungen vor, die geeignet wären, die Haft als unverhältnismässig zu bezeichnen (Protokoll S. 3, act. 38).</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der Gesuchsgegnerin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 entgegen der Ansicht</w:t>
      </w:r>
    </w:p>
    <w:p>
      <w:r>
        <w:t>- 7 - des Rechtsvertreters der Gesuchsgegnerin – nicht ersichtlich. Dies zumal die Gesuchsgegnerin durch ihr bisheriges Verhalten keine Gewähr für die freiwillige Ausreise bietet. Vielmehr ist davon auszugehen, dass die Gesuchsgegnerin bei einer Entlassung aus der Haft untertauchen wird. Bezüglich der familiären Verhältnisse ergeben sich keine Anhaltspunkte, welche gegen eine Haftanordnung sprechen würden. Die Gesuchsgegnerin macht auch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Der Gesuchsgegnerin ist gemäss § 27 Abs. 2 EGAR zwingend ein amtlicher Rechtsvertreter zu bestellen, da der Gesuchsteller eine Haft für eine Dauer von mehr als 30 Tagen anordnete. Der Vertreter der Gesuchsgegnerin wird aufgefordert, nach Haftentlassung der Gesuchsgegnerin seine Kostennote einzureichen. IV. 1. Die Gesuchsgegnerin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der Gesuchsgegnerin daher die Frage zu unterbreiten, ob sie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