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WPR.2022.49 vom 26. Juli 2022</w:t>
      </w:r>
    </w:p>
    <w:p>
      <w:r>
        <w:t>AG Verwaltungsgericht, 2022-07-26, DE</w:t>
      </w:r>
    </w:p>
    <w:p>
      <w:r>
        <w:rPr>
          <w:b/>
        </w:rPr>
        <w:t xml:space="preserve">Quelle: </w:t>
      </w:r>
      <w:r>
        <w:t>https://mcp.opencaselaw.ch/entscheid/ag_verwaltungsgericht_WPR.2022.49</w:t>
      </w:r>
    </w:p>
    <w:p>
      <w:r>
        <w:t>FR: AG_VERWALTUNGSGERICHT WPR.2022.49 du 26 juillet 2022</w:t>
      </w:r>
    </w:p>
    <w:p>
      <w:r>
        <w:t>IT: AG_VERWALTUNGSGERICHT WPR.2022.49 del 26 luglio 2022</w:t>
      </w:r>
    </w:p>
    <w:p>
      <w:pPr>
        <w:pStyle w:val="Heading2"/>
      </w:pPr>
      <w:r>
        <w:t>Erwägungen</w:t>
      </w:r>
    </w:p>
    <w:p>
      <w:r>
        <w:rPr>
          <w:b/>
        </w:rPr>
        <w:t>E. 2</w:t>
      </w:r>
    </w:p>
    <w:p>
      <w:r>
        <w:t>Die Haft begann am 22. Juli 2022, 12.46 Uhr. Sie wird in Anwendung von Art. 76 AIG für drei Monate angeordnet.</w:t>
      </w:r>
    </w:p>
    <w:p>
      <w:r>
        <w:rPr>
          <w:b/>
        </w:rPr>
        <w:t>E. 2.1</w:t>
      </w:r>
    </w:p>
    <w:p>
      <w:r>
        <w:t>Das MIKA begründet seine Haftanordnung damit, dass es den Gesuchsgegner aus der Schweiz ausschaffen und mit der Haft den Vollzug sicherstellen wolle. Der Haftzweck ist damit erstellt.</w:t>
      </w:r>
    </w:p>
    <w:p>
      <w:r>
        <w:t>- 5 -</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Mit Urteil vom 5. Dezember 2017 hat das Bezirksgericht Baden den Ge- suchsgegner gestützt auf Art. 66abis StGB fünf Jahre des Landes verwiesen (MI-act. 59 ff.). Die ausgesprochene Landesverweisung ist in Rechtskraft erwachsen (MI-act. 68), womit eine rechtsgenügliche Landesverweisung vorliegt.</w:t>
      </w:r>
    </w:p>
    <w:p>
      <w:r>
        <w:rPr>
          <w:b/>
        </w:rPr>
        <w:t>E. 2.3</w:t>
      </w:r>
    </w:p>
    <w:p>
      <w:r>
        <w:t>Gemäss Art. 80 Abs. 6 lit. a AIG ist die Haft zu beenden, wenn sich erweist, dass der Vollzug der Wegweisung aus rechtlichen oder tatsächlichen Grün- den undurchführbar ist. Es sind keine Anzeichen vorhanden, die an der Ausschaffungsmöglichkeit in tatsächlicher oder rechtlicher Hinsicht Zweifel aufkommen lassen wür- den.</w:t>
      </w:r>
    </w:p>
    <w:p>
      <w:r>
        <w:rPr>
          <w:b/>
        </w:rPr>
        <w:t>E. 3</w:t>
      </w:r>
    </w:p>
    <w:p>
      <w:r>
        <w:t>Die Haft wird im Ausschaffungszentrum Aarau oder im Zentrum für aus- länderrechtliche Administrativhaft in Zürich vollzogen. C. Anlässlich der heutigen Verhandlung vor dem Einzelrichter des Verwal- tungsgerichts wurden der Gesuchsteller und der Gesuchsgegner befragt.</w:t>
      </w:r>
    </w:p>
    <w:p>
      <w:r>
        <w:t>- 4 - D. Der Gesuchsteller beantragte die Bestätigung der Haftanordnung (Proto- koll S. 4, act. 28). Der Gesuchsgegner liess folgenden Antrag stellen (Protokoll S. 4, act. 28): Die mit Verfügung vom 25.07.2022 des Amts für Migration und Integration (MIKA) angeordnete Ausschaffungshaft nach Art.76 AIG sei nur für maxi- mal einen Monat zu bewilligen. Der Einzelrichter zieht in Erwägung: I. 1. Das angerufene Gericht überprüft die Rechtmässigkeit und Angemessen- heit einer durch das MIKA angeordneten Ausschaffungshaft aufgrund einer mündlichen Verhandlung spätestens nach 96 Stunden (Art. 80 Abs. 2 AIG, § 6 EGAR). Die Haftüberprüfungsfrist beginnt mit der ausländerrechtlich motivierten Anhaltung der betroffenen Person zu laufen (vgl. BGE 127 II 174, Erw. 2. b/aa). 2. Im vorliegenden Fall wurde der Gesuchsgegner am 22. Juli 2022, 12.46 Uhr, in Basel angehalten. Die mündliche Verhandlung begann am 26. Juli 2022, 08.30 Uhr; das Urteil wurde um 08.55 Uhr eröffnet. Die rich- 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sowie § 91a der Verordnung über den Vollzug von Stra- fen und Massnahmen vom 9. Juli 2003 (SMV; SAR 253.111)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 schaffung entziehen will, ist aufgrund des ganzen bisherigen Verhaltens, insbesondere auch gegenüber den Behörden, sowie ihrer eigenen Aussa- gen zu beurteilen. Auch wenn einzelne Fakten für sich eine Ausschaffungs- haft nicht rechtfertigen, kann dies aufgrund der Gesamtheit der Vorkomm- 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 son darauf schliessen lässt, dass sie sich behördlichen Anordnungen wi- dersetzt (Art. 76 Abs. 1 lit. b Ziff. 4 AIG).</w:t>
      </w:r>
    </w:p>
    <w:p>
      <w:r>
        <w:t>- 6 -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ANDREAS ZÜND, in: MARC SPESCHA/ANDREAS ZÜND/PETER BOLZLI/ CONSTANTIN HRUSCHKA/FANNY DE WECK [Hrsg.], Kommentar Migrations- recht, 5. Aufl., Zürich 2019, N. 7 zu Art. 76 AIG und TARKAN GÖKSU, in: MARTINA CARONI/THOMAS GÄCHTER/DANIELA THURNHERR [Hrsg.], Stämpflis Handkommentar zum Bundesgesetz über die Ausländerinnen und Auslän- der [AuG], Bern 2010, N. 11 zu Art. 76).</w:t>
      </w:r>
    </w:p>
    <w:p>
      <w:r>
        <w:rPr>
          <w:b/>
        </w:rPr>
        <w:t>E. 3.2</w:t>
      </w:r>
    </w:p>
    <w:p>
      <w:r>
        <w:t>Der Gesuchsgegner wurde mit Urteil des Bezirksgerichts Baden vom 5. De- zember 2017 fünf Jahre des Landes verwiesen. Der Gesuchsgegner ver- stiess seither bereits zum wiederholten Mal gegen die Landesverweisung, indem er immer wieder in die Schweiz einreiste, obwohl er sich seines ille- galen Aufenthaltes bewusst war. Aufgrund des bisherigen Verhaltens des Gesuchsgegner kann davon ausgegangen werden, dass er sich nicht an behördliche Anordnungen hält und auch künftig gegen die Landesverwei- sung verstossen wird. Insofern ist die Aussage des Gesuchsgegners im Rahmen des rechtlichen Gehörs und anlässlich der heutigen Verhandlung, er sei bereit die Schweiz in Richtung Griechenland oder Albanien zu ver- lassen, als reine Schutzbehauptung zu qualifizieren. Unter diesen Umständen steht fest, dass der Gesuchsgegner klare Anzei- chen für eine Untertauchensgefahr gesetzt hat. Damit ist der Haftgrund von Art. 76 Abs. 1 lit. b Ziff. 4 AIG erfüllt.</w:t>
      </w:r>
    </w:p>
    <w:p>
      <w:r>
        <w:rPr>
          <w:b/>
        </w:rPr>
        <w:t>E. 4</w:t>
      </w:r>
    </w:p>
    <w:p>
      <w:r>
        <w:t>Bezüglich der Haftbedingungen liegen keine Beanstandungen vor (Proto- koll S. 3, act. 27).</w:t>
      </w:r>
    </w:p>
    <w:p>
      <w:r>
        <w:rPr>
          <w:b/>
        </w:rPr>
        <w:t>E. 5</w:t>
      </w:r>
    </w:p>
    <w:p>
      <w:r>
        <w:t>Es liegen auch keine Anzeichen dafür vor, dass das MIKA dem Beschleu- nigungsgebot (Art. 76 Abs. 4 AIG) nicht ausreichend Beachtung geschenkt hätte.</w:t>
      </w:r>
    </w:p>
    <w:p>
      <w:r>
        <w:rPr>
          <w:b/>
        </w:rPr>
        <w:t>E. 6</w:t>
      </w:r>
    </w:p>
    <w:p>
      <w:r>
        <w:t>Das MIKA ordnete die Ausschaffungshaft für drei Monate an. Der Rechts- vertreter des Gesuchsgegners beantragt, die Ausschaffungshaft sei maxi- mal für einen Monat zu bewilligen, da die Beschaffung des Reisepasses des Gesuchsgegners als auch die Organisation der Rückkehr innert kür- zester Zeit erfolgen könnten. Diesem Vorbringen ist allerdings entgegen zu halten, dass das MIKA erst anlässlich der heutigen Verhandlung die Kon- taktdaten von jener Person erhielt, die gemäss Angaben des Gesuchsgeg- ners im momentanen Besitz seines Reisepasses sein soll. Das MIKA wird</w:t>
      </w:r>
    </w:p>
    <w:p>
      <w:r>
        <w:t>- 7 - daher zunächst den Reisepass des Gesuchsgegners beschaffen und in der Folge die Rückreise nach Albanien organisieren müssen. Das MIKA geht von einem Zeithorizont von drei bis vier Wochen aus, welcher für die ge- samte Organisation gebraucht wird. Dieselbe Zeitdauer wird für das Stellen eines Rückübernahmegesuches an Griechenland sowie einer anschlies- senden Organisation einer Rückreise nach Griechenland benötigt. In An- betracht dieser Ausgangslage ist die angeordnete Haftdauer von drei Mo- naten nicht zu beanstanden. Im Übrigen ist festzuhalten, dass das MIKA bisher stets bemüht war, Ausschaffungen so rasch wie möglich zu vollzie- hen. Sollte das MIKA entgegen seiner bisherigen Gewohnheit das Be- schleunigungsgebot verletzen, besteht die Möglichkeit, ein Haftentlas- sungsgesuch zu stellen.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nicht ersichtlich. Bezüglich der familiären Verhältnisse ergeben sich keine Anhaltspunkte, welche gegen eine Haftan- ordnung sprechen würden. Soweit der Rechtsvertreter die Hafterstehungs- fähigkeit des Gesuchsgegners aufgrund seiner Rückenprobleme in Frage stellt, ist entgegenzuhalten, dass anlässlich der heutigen Verhandlung eine ärztliche Untersuchung vereinbart wurde und in den nächsten Tagen durch- geführt wird. Es liegen deshalb keine Hinweise vor, dass der Gesuchsgeg- ner nicht hafterstehungsfähig ist. Insgesamt sind keinerlei Gründe ersicht- lich, welche die angeordnete Haft als unverhältnismässig erscheinen lies- 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 such frühestens einen Monat nach Haftüberprüfung gestellt werden kann (Art. 80 Abs. 5 AIG) und beim MIKA einzureichen ist (§ 15 Abs. 1 EGAR).</w:t>
      </w:r>
    </w:p>
    <w:p>
      <w:r>
        <w:t>- 8 - 2. Soll die Haft gegebenenfalls verlängert werden, ist nicht zwingend eine Ver- 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