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WPR.2022.43 vom 30. Juni 2022</w:t>
      </w:r>
    </w:p>
    <w:p>
      <w:r>
        <w:t>AG Verwaltungsgericht, 2022-06-30, DE</w:t>
      </w:r>
    </w:p>
    <w:p>
      <w:r>
        <w:rPr>
          <w:b/>
        </w:rPr>
        <w:t xml:space="preserve">Quelle: </w:t>
      </w:r>
      <w:r>
        <w:t>https://mcp.opencaselaw.ch/entscheid/ag_verwaltungsgericht_WPR.2022.43</w:t>
      </w:r>
    </w:p>
    <w:p>
      <w:r>
        <w:t>FR: AG_VERWALTUNGSGERICHT WPR.2022.43 du 30 juin 2022</w:t>
      </w:r>
    </w:p>
    <w:p>
      <w:r>
        <w:t>IT: AG_VERWALTUNGSGERICHT WPR.2022.43 del 30 giugno 2022</w:t>
      </w:r>
    </w:p>
    <w:p>
      <w:pPr>
        <w:pStyle w:val="Heading2"/>
      </w:pPr>
      <w:r>
        <w:t>Erwägungen</w:t>
      </w:r>
    </w:p>
    <w:p>
      <w:r>
        <w:rPr>
          <w:b/>
        </w:rPr>
        <w:t>E. 2</w:t>
      </w:r>
    </w:p>
    <w:p>
      <w:r>
        <w:t>Die Haft begann am 27. Juni 2022, 19.00 Uhr. Sie wird in Anwendung von Art. 76 AIG für drei Monate bis zum 26. September 2022, 12.00 Uhr, angeordnet.</w:t>
      </w:r>
    </w:p>
    <w:p>
      <w:r>
        <w:rPr>
          <w:b/>
        </w:rPr>
        <w:t>E. 2.1</w:t>
      </w:r>
    </w:p>
    <w:p>
      <w:r>
        <w:t>Das MIKA begründet seine Haftanordnung damit, dass es den Gesuchsgegner aus der Schweiz ausschaffen und mit der Haft den Vollzug sicherstellen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Das SEM hat den Gesuchsgegner mit Verfügung vom 11. Juni 2021 aus der Schweiz sowie dem Schengen-Raum weggewiesen (MI-act. 65 ff.). Dieser Entscheid ist am 16. Juli 2021 in Rechtskraft erwachsen (MI- act. 75 f.), womit ein rechtsgenüglicher Wegweisungsentscheid vorliegt.</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w:t>
      </w:r>
    </w:p>
    <w:p>
      <w:r>
        <w:t>- 6 - 3.</w:t>
      </w:r>
    </w:p>
    <w:p>
      <w:r>
        <w:rPr>
          <w:b/>
        </w:rPr>
        <w:t>E. 3</w:t>
      </w:r>
    </w:p>
    <w:p>
      <w:r>
        <w:t>Die Verfahrens- und Vollzugskosten seien auf die Staatskasse zu nehmen.</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AsylG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und TARKAN GÖKSU, in: MARTINA CARONI/THOMAS GÄCHTER/DANIELA THURNHERR [Hrsg.], Stämpflis Handkommentar zum Bundesgesetz über die Ausländerinnen und Ausländer [AuG], Bern 2010, N. 11 zu Art. 76).</w:t>
      </w:r>
    </w:p>
    <w:p>
      <w:r>
        <w:rPr>
          <w:b/>
        </w:rPr>
        <w:t>E. 3.2</w:t>
      </w:r>
    </w:p>
    <w:p>
      <w:r>
        <w:t>Der Gesuchsgegner ist aufgrund der rechtskräftigen Wegweisungsverfügung des SEM seit dem 16. Juli 2021 verpflichtet, die Schweiz zu verlassen (MI-act. 65 ff., 75 f.). Dass beim Gesuchsgegner eine Untertauchensgefahr besteht, liegt auf der Hand, da dieser den für ihn gebuchten, unbegleiteten Flug nach Erbil nicht antrat und ab diesem Tag als unbekannten Aufenthalts galt (MI-act. 283). Sein Verhalten macht deutlich, dass er sich behördlichen Anordnungen widersetzt und sich der Ausschaffung entziehen will. Das Bestehen einer Untertauchensgefahr wird dadurch bekräftigt, dass der Gesuchsgegner anlässlich des rechtlichen Gehörs betreffend die Anordnung einer Ausschaffungshaft am</w:t>
      </w:r>
    </w:p>
    <w:p>
      <w:r>
        <w:t>- 7 - 29. Juni 2022 ausdrücklich erklärte, er sei nicht zu einer Rückkehr in den Irak bereit (MI-act. 297, Protokoll S. 3, act. 30). Daran ändert nichts, dass sich der Gesuchsgegner im Rahmen der heutigen Verhandlung bereit erklärte, in den Irak zurückzukehren und seine versäumte Rückreise am 27. April 2022 damit erklärte, dass er viel Alkohol konsumiert habe (Protokoll S. 3, act. 30). Angesichts seines bisherigen Verhaltens, insbesondere des Untertauchens am Tag seines Rückflugs, erscheint die geäusserte Bereitschaft zur freiwilligen Ausreise als blosse Schutzbehauptung, um die drohende Ausschaffungshaft abzuwenden und ist als unglaubhaft zu qualifizieren. Mit seinem bisherigen Verhalten setzte der Gesuchsgegner damit klare Anzeichen für eine Untertauchensgefahr, und es ist nicht davon auszugehen, dass er nach einer Entlassung aus der Ausschaffungshaft die Schweiz selbständig in Richtung Irak verlassen würde. Damit ist der Haftgrund von Art. 76 Abs. 1 lit. b Ziff. 3 und 4 AIG erfüllt.</w:t>
      </w:r>
    </w:p>
    <w:p>
      <w:r>
        <w:rPr>
          <w:b/>
        </w:rPr>
        <w:t>E. 4</w:t>
      </w:r>
    </w:p>
    <w:p>
      <w:r>
        <w:t>Bezüglich der Haftbedingungen liegen keine Beanstandungen vor, die geeignet wären, die Haft als unverhältnismässig zu bezeichnen (Protokoll S. 3, act. 30).</w:t>
      </w:r>
    </w:p>
    <w:p>
      <w:r>
        <w:rPr>
          <w:b/>
        </w:rPr>
        <w:t>E. 5</w:t>
      </w:r>
    </w:p>
    <w:p>
      <w:r>
        <w:t>Es liegen auch keine Anzeichen dafür vor, dass das MIKA dem Beschleunigungsgebot (Art. 76 Abs. 4 AIG) nicht ausreichend Beachtung geschenkt hätte.</w:t>
      </w:r>
    </w:p>
    <w:p>
      <w:r>
        <w:rPr>
          <w:b/>
        </w:rPr>
        <w:t>E. 6</w:t>
      </w:r>
    </w:p>
    <w:p>
      <w:r>
        <w:t>Das MIKA ordnete die Ausschaffungshaft für drei Monate an. Nachdem der Vollzug der Rückführung massgeblich vom Verhalten des Gesuchsgegners abhängig ist und es diesbezüglich zu Verzögerungen kommen kann, ist die beantragte Haftdauer nicht zu beanstanden. Im Übrigen ist festzuhalten, dass das MIKA bisher stets bemüht war, Ausschaffungen so rasch wie möglich zu vollziehen. Sollte das MIKA entgegen seiner bisherigen Gewohnheit das Beschleunigungsgebot verletzen, besteht die Möglichkeit, ein Haftentlassungsgesuch zu stellen.</w:t>
      </w:r>
    </w:p>
    <w:p>
      <w:r>
        <w:rPr>
          <w:b/>
        </w:rPr>
        <w:t>E. 7</w:t>
      </w:r>
    </w:p>
    <w:p>
      <w:r>
        <w:t>Abschliessend stellt sich die Frage, ob die Haftanordnung deshalb nicht zu bestätigen sei, weil sie im konkreten Fall gegen das Prinzip der Verhältnismässigkeit verstossen würde. Eine mildere Massnahme zur Sicherstellung des Vollzugs der Wegweisung ist nicht ersichtlich. Entgegen den Vorbringen des Rechtsvertreters des Gesuchsgegners reicht eine Meldepflicht oder eine Eingrenzung vorliegend nicht aus, da dadurch nicht sichergestellt werden kann, dass der Gesuchsgegner tatsächlich ausreisen</w:t>
      </w:r>
    </w:p>
    <w:p>
      <w:r>
        <w:t>- 8 - wird. Dies gilt umso mehr als der Gesuchsgegner bereits einen Rückflug nicht angetreten hat. Bezüglich der familiären Verhältnisse ergeben sich keine Anhaltspunkte, welche gegen eine Haftanordnung sprechen würden. Der Gesuchsgegner macht auch nicht geltend, er sei nicht hafterstehungsfähig. Insgesamt sind keinerlei Gründe ersichtlich, welche die angeordnete Haft als unverhältnismässig erscheinen liessen. III. 1. Gemäss § 28 Abs. 1 EGAR ist das Verfahren betreffend Haftüberprüfung unentgeltlich. Demgemäss werden keine Kosten erhoben. 2. Dem Gesuchsgegner ist gemäss § 27 Abs. 2 EGAR zwingend ein amtlicher Rechtsvertreter zu bestellen, da der Gesuchsteller eine Haft für eine Dauer von mehr als 30 Tagen anordnete. Der Vertreter des Gesuchsgegners wird aufgefordert, nach Haftentlassung des Gesuchsgegners seine Kostennote einzureichen. IV. 1. Der Gesuchsgegner wird darauf hingewiesen, dass ein Haftentlassungsgesuch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des rechtlichen Gehörs hat das MIKA dem Gesuchsgegner daher die Frage zu unterbreiten, ob er die Durchführung einer mündlichen Verhandlung wünscht und ob er in diesem Fall eine Präsenzverhandlung verlangt oder mit einer Skype-Verhandlung einverstanden ist (Urteil des Bundesgerichts 2C_846/2021 vom 19. November 2021). Die Anordnung einer allfälligen Haftverlängerung ist dem Verwaltungsgericht spätestens acht Arbeitstage vor Ablauf der bewilligten Haft einzureichen. 3. Der vorliegende Entscheid wurde den Parteien zusammen mit einer kurzen Begründung anlässlich der heutigen Verhandlung mündlich eröffnet. Das Dispositiv wurde den Parteien ausgehändigt.</w:t>
      </w:r>
    </w:p>
    <w:p>
      <w:r>
        <w:t>- 9 -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