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WPR.2022.38 vom 10. Juni 2022</w:t>
      </w:r>
    </w:p>
    <w:p>
      <w:r>
        <w:t>AG Verwaltungsgericht, 2022-06-10, DE</w:t>
      </w:r>
    </w:p>
    <w:p>
      <w:r>
        <w:rPr>
          <w:b/>
        </w:rPr>
        <w:t xml:space="preserve">Quelle: </w:t>
      </w:r>
      <w:r>
        <w:t>https://mcp.opencaselaw.ch/entscheid/ag_verwaltungsgericht_WPR.2022.38</w:t>
      </w:r>
    </w:p>
    <w:p>
      <w:r>
        <w:t>FR: AG_VERWALTUNGSGERICHT WPR.2022.38 du 10 juin 2022</w:t>
      </w:r>
    </w:p>
    <w:p>
      <w:r>
        <w:t>IT: AG_VERWALTUNGSGERICHT WPR.2022.38 del 10 giugno 2022</w:t>
      </w:r>
    </w:p>
    <w:p>
      <w:pPr>
        <w:pStyle w:val="Heading2"/>
      </w:pPr>
      <w:r>
        <w:t>Erwägungen</w:t>
      </w:r>
    </w:p>
    <w:p>
      <w:r>
        <w:rPr>
          <w:b/>
        </w:rPr>
        <w:t>E. 2</w:t>
      </w:r>
    </w:p>
    <w:p>
      <w:r>
        <w:t>Die Haft begann am 8. Juni 2022, 16.55 Uhr.</w:t>
      </w:r>
    </w:p>
    <w:p>
      <w:r>
        <w:rPr>
          <w:b/>
        </w:rPr>
        <w:t>E. 3</w:t>
      </w:r>
    </w:p>
    <w:p>
      <w:r>
        <w:t>Unter Kosten- und Entschädigungsfolgen zzgl. MwST. F. Mit Dispositiventscheid vom 10. Juni 2022 ordnete der zuständige Einzelrichter des Verwaltungsgerichts die unverzügliche Entlassung des Gesuchsgegners aus der Ausschaffungshaft an. Dieser Entscheid ist nachfolgend zu begründen.</w:t>
      </w:r>
    </w:p>
    <w:p>
      <w:r>
        <w:t>- 4 - Der Einzelrichter zieht in Erwägung: I. 1. Das angerufene Gericht überprüft die Rechtmässigkeit und Angemessenheit einer durch das MIKA angeordneten Dublin- Administrativhaft auf Antrag der betroffenen Person in einem schriftlichen Verfahren innert 96 Stunden seit Antragstellung (Art. 80a Abs. 3 des Bundesgesetzes über die Ausländerinnen und Ausländer und über die Integration vom 16. Dezember 2005 [Ausländer- und Integrationsgesetz, AIG; SR 142.20] i.V.m. Art. 80 Abs. 2 AIG; § 6 des Einführungsgesetzes zum Ausländerrecht vom 25. November 2008 [EGAR; SAR 122.600]). Nachdem der Gesuchsgegner anlässlich der Eröffnung der Haftanordnung eine richterliche Haftüberprüfung verlangt hat, ist diese vorzunehmen. Die Haftüberprüfungsfrist beginnt sodann mit der Antragsstellung des Gesuchsgegners zu laufen, welche vorliegend am 9. Juni 2022, 15.13 Uhr, erfolgte (MI-act. 106). Nach dem Gesagten ist die Haftüberprüfungsfrist mit Dispositiventscheid vom 10. Juni 2022 eingehalten. 2. Gemäss § 14 Abs. 2 EGAR entscheidet der Einzelrichter des Verwaltungsgerichts über die angeordnete Haft aufgrund der Akten und der Vorbringen der Parteien. Die Abnahme weiterer Beweise bleibt vorbehalten. II. 1. 1.1. Die zuständige kantonale Behörde kann eine betroffene Person, für deren Asylverfahren ein anderer Dublin-Staat zuständig ist, zur Sicherstellung des Wegweisungsvollzugs in Haft nehmen, wenn die entsprechenden Voraussetzungen von Art. 76a AIG erfüllt sind. 1.2. Wurde die betroffene Person dem Kanton Aargau zugewiesen oder hält sie sich im Kanton Aargau auf (Art. 80a Abs. 1 lit. b AIG), ist das MIKA gemäss § 13 Abs. 1 EGAR zuständige kantonale Behörde im Sinne von Art. 76a AIG. Nachdem der Gesuchsgegner im Rahmen seines Asylverfahrens mit Entscheid des SEM vom 11. Mai 2015 dem Kanton Aargau zugewiesen worden ist (MI-act. 19), bleibt die Zuständigkeit des Kantons Aargau weiter bestehen. Vorliegend wurde die Haftanordnung durch das MIKA und damit durch die zuständige Behörde erlassen (act. 1 ff.).</w:t>
      </w:r>
    </w:p>
    <w:p>
      <w:r>
        <w:t>- 5 - 1.3. Für die Überstellung in einen Dublin-Staat ist seit dem 1. Januar 2014 die auch für die Schweiz geltende sogenannte "Dublin 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in der Fassung gemäss ABl. L 180 vom 29. Juni 2013, S. 31 ff.) massgebend. Per 1. Juli 2015 wurde die Dublin III-Verordnung durch Anpassung des nationalen Rechts vollständig in Kraft gesetzt (vgl.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[Weiterentwicklung des Dublin/Eurodac-Besitzstands]; AS 2015 1841). Mit Blick auf die Ausführungsbestimmungen gilt die Verordnung (EG) Nr. 1560/2003 der Kommission vom 2. September 2003 (Dublin- II-Durchführungsverordnung; ABl. L 222 vom 5. September 2003, S. 3 ff.) grundsätzlich weiter, wobei gemäss Art. 48 Satz 2 der Dublin III-Verordnung die Art. 11 Abs. 1, Art. 13, Art. 14 und Art. 17 der Dublin II-Durchführungsverordnung aufgehoben wurden. Für die nicht mehr gültigen Verweise in der Dublin II-Durchführungsverordnung auf die Verordnung (EG) Nr. 343/2003 (Dublin II-Verordnung) wurde im Anhang II zur Dublin III-Verordnung eine Konkordanztabelle eingefügt (vgl. Notenaustausch vom 14. August 2013 zwischen der Schweiz und der Europäischen Union betreffend die Übernahme der Verordnung [EU] Nr. 604/2013 zur Festlegung der Kriterien und Verfahren zur Bestimmung des Mitgliedstaats, der für die Prüfung eines Antrags auf internationalen Schutz zuständig ist [Weiterentwicklung des Dublin/Eurodac-Besitzstands]; SR 0.142.392.680.01). 1.4. Das MIKA informierte das SEM am 9. Juni 2022 über die Haftanordnung betreffend den Gesuchsgegner und ersuchte das SEM um Einleitung des Dublin-Verfahrens (MI-act. 97). Es ist somit davon auszugehen, dass das SEM die Einleitung des Dublin-Verfahrens vorbereitet. Gemäss EURODAC-Registerauszug vom 8. Juni 2022 stellte der Gesuchsgegner zwar am 25. Februar 2015 sein erstes Asylgesuch in der Schweiz, reichte aber in der Zwischenzeit mehrere Asylgesuche in Belgien ein. Da der Gesuchsgegner einerseits seit dem 23. August 2017 in der Schweiz als unbekannten Aufenthalts galt und andererseits gemäss demselben EURODAC-Registerauszug am 14. November 2017 und am 24. Mai 2018 in Belgien jeweils ein Asylgesuch einreichte, ist davon auszugehen, dass</w:t>
      </w:r>
    </w:p>
    <w:p>
      <w:r>
        <w:t>- 6 - die Zuständigkeit im Asyl- und Wegweisungsverfahren mittlerweile auf Belgien übergegangen ist (MI-act. 104). 2. Vorliegend wurde eine „Dublin-Kombihaft“ angeordnet. Das bedeutet, dass sich die Haft in einer ersten Phase auf Art. 76a Abs. 3 lit. a AIG stützt (Vorbereitung Wegweisungsentscheid) und vorerst maximal sieben Wochen dauert. Vorbehalten bleibt im Falle einer negativen Antwort des Dublin-Zielstaates der Einschub einer Phase von maximal fünf Wochen während eines Remonstrationsverfahrens (Art. 76a Abs. 3 lit. b AIG). Liegt ein Wegweisungsentscheid vor, kann die Haft gestützt auf Art. 76a Abs. 3 lit. c AIG (Wegweisungsvollzug) für weitere sechs Wochen fortgesetzt werden. Das MIKA begründet seine Haftanordnung damit, dass mit der Haft zunächst die Durchführung des Wegweisungsverfahrens und anschliessend der Vollzug der Wegweisung des Gesuchsgegners sichergestellt werden soll. Damit ist der Haftzweck sowohl in Bezug auf die Phase der Vorbereitung eines Wegweisungsentscheids als auch in Bezug auf die Phase des Wegweisungsvollzugs erstellt.</w:t>
      </w:r>
    </w:p>
    <w:p>
      <w:r>
        <w:rPr>
          <w:b/>
        </w:rPr>
        <w:t>E. 3.1</w:t>
      </w:r>
    </w:p>
    <w:p>
      <w:r>
        <w:t>Gemäss Art. 76a Abs. 1 lit. a AIG müssen konkrete Anzeichen dafür vorliegen, dass sich die betroffene Person der Durchführung der Wegweisung entziehen will. Davon ist insbesondere dann auszugehen, wenn einer der in Art. 76a Abs. 2 AIG genannten Umstände vorliegt. Gemäss Art. 76a Abs. 2 lit. b AIG ist von einer Untertauchensgefahr und damit auch von einem Haftgrund auszugehen, wenn das Verhalten des Betroffenen in der Schweiz oder im Ausland darauf schliessen lässt, dass er sich behördlichen Anordnungen widersetzt.</w:t>
      </w:r>
    </w:p>
    <w:p>
      <w:r>
        <w:rPr>
          <w:b/>
        </w:rPr>
        <w:t>E. 3.2</w:t>
      </w:r>
    </w:p>
    <w:p>
      <w:r>
        <w:t>Der Gesuchsteller stellt sich auf den Standpunkt, der Gesuchsgegner biete keine Gewähr für eine ordnungsgemässe Ausreise, da er sowohl in der Schweiz als auch in Belgien Asylgesuche eingereicht habe und daher als "Asyltourist" zu betrachten sei. Zudem habe der Gesuchsgegner seine Pflicht, sich den Behörden jederzeit zur Verfügung zu halten, verletzt, indem er im Rahmen seiner Asylverfahren in der Schweiz unbekannten Aufenthalts gewesen sei. Seine später geäusserte Bereitschaft freiwillig nach Belgien auszureisen, erscheine unglaubhaft und sei als Schutzbehauptung zu werten. Im Rahmen des rechtlichen Gehörs bringt der Gesuchsgegner im Wesentlichen vor, er wolle den Entscheid der belgischen Behörden</w:t>
      </w:r>
    </w:p>
    <w:p>
      <w:r>
        <w:t>- 7 - betreffend den Überstellungsantrag des SEM bzw. eine allfällige Wegweisung durch das SEM in Freiheit abwarten und werde sich in einer vom MIKA vorgeschriebenen Unterkunft aufhalten (MI-act. 100). Weiter führt er aus, er sei bereit, nach Vorliegen eines Wegweisungsentscheids die Schweiz in Richtung Belgien zu verlassen (MI-act. 100).</w:t>
      </w:r>
    </w:p>
    <w:p>
      <w:r>
        <w:rPr>
          <w:b/>
        </w:rPr>
        <w:t>E. 3.3</w:t>
      </w:r>
    </w:p>
    <w:p>
      <w:r>
        <w:t>Richtig ist, dass das Stellen mehrerer Asylgesuche in mehreren Ländern als Asyltourismus bezeichnet wird und unter Umständen als Anzeichen für eine mögliche Untertauchensgefahr gewertet werden kann. Eine derartige Qualifikation darf jedoch nicht generalisiert und pauschal auf alle Asylsuchenden angewendet werden, die mehrere Asylgesuche in verschiedenen Ländern einreichen. Massgeblich ist immer die konkrete Beurteilung des Einzelfalles. Entscheidend ist, ob bei einer betroffenen Person insgesamt konkrete Anzeichen bestehen, dass sie sich einem späteren Wegweisungsvollzug entziehen wird. Dies ist hier nicht der Fall. Der Gesuchsgegner hat zwar in der Vergangenheit diverse Asylverfahren durchlaufen und war mehrmals unbekannten Aufenthalts. Nachdem er die Schweiz jedoch jeweils verlassen hat, kann ihm nicht vorgeworfen werden, er sei untergetaucht und habe sich so einem behördlichen Zugriff zwecks Ausschaffung entzogen. Aus den Akten geht auch nicht hervor, dass dem Gesuchsgegner nach Überstellung nach Belgien eine Ausschaffung in sein Heimatland drohen würde und er sich dieser durch Untertauchen in der Schweiz zu entziehen versuchen würde. Unter diesen Umständen besteht keine Veranlassung, die Aussage des Gesuchsgegners, er werde sich einer Rückführung nach Belgien unterziehen, als unglaubhaft zu qualifizieren. Der Umstand, dass der Gesuchsgegner als Asyltourist bezeichnet werden kann, genügt damit nicht, eine konkrete Untertauchensgefahr zu begründen. Andere Sachverhaltsaspekte, die eine Untertauchensgefahr begründen könnten, werden weder vorgebracht noch gehen solche aus den Akten hervor.</w:t>
      </w:r>
    </w:p>
    <w:p>
      <w:r>
        <w:rPr>
          <w:b/>
        </w:rPr>
        <w:t>E. 4</w:t>
      </w:r>
    </w:p>
    <w:p>
      <w:r>
        <w:t>Nachdem keine konkrete Untertauchensgefahr besteht, ist der Gesuchsgegner unverzüglich aus der Haft zu entlassen, womit es sich erübrigt, auf die weiteren Voraussetzungen der Administrativhaft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