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WPR.2022.35 vom 31. Mai 2022</w:t>
      </w:r>
    </w:p>
    <w:p>
      <w:r>
        <w:t>AG Verwaltungsgericht, 2022-05-31, DE</w:t>
      </w:r>
    </w:p>
    <w:p>
      <w:r>
        <w:rPr>
          <w:b/>
        </w:rPr>
        <w:t xml:space="preserve">Quelle: </w:t>
      </w:r>
      <w:r>
        <w:t>https://mcp.opencaselaw.ch/entscheid/ag_verwaltungsgericht_WPR.2022.35</w:t>
      </w:r>
    </w:p>
    <w:p>
      <w:r>
        <w:t>FR: AG_VERWALTUNGSGERICHT WPR.2022.35 du 31 mai 2022</w:t>
      </w:r>
    </w:p>
    <w:p>
      <w:r>
        <w:t>IT: AG_VERWALTUNGSGERICHT WPR.2022.35 del 31 maggio 2022</w:t>
      </w:r>
    </w:p>
    <w:p>
      <w:pPr>
        <w:pStyle w:val="Heading2"/>
      </w:pPr>
      <w:r>
        <w:t>Erwägungen</w:t>
      </w:r>
    </w:p>
    <w:p>
      <w:r>
        <w:rPr>
          <w:b/>
        </w:rPr>
        <w:t>E. 2</w:t>
      </w:r>
    </w:p>
    <w:p>
      <w:r>
        <w:t>Die Haft begann am 30. Mai 2022, 07.00 Uhr. Sie wird in Anwendung von Art. 76 AIG für drei Monate bis zum 29. August 2022 angeordnet.</w:t>
      </w:r>
    </w:p>
    <w:p>
      <w:r>
        <w:rPr>
          <w:b/>
        </w:rPr>
        <w:t>E. 2.1</w:t>
      </w:r>
    </w:p>
    <w:p>
      <w:r>
        <w:t>Das MIKA begründet seine Haftanordnung damit, dass es die Gesuchsgegnerin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w:t>
      </w:r>
    </w:p>
    <w:p>
      <w:r>
        <w:t>- 7 - Mit Verfügung vom 26. Juni 2020 trat das SEM auf das Asylgesuch der Gesuchsgegnerin nicht ein und wies sie aus der Schweiz weg (MI-act. 62 ff.). Diese Verfügung erwuchs insbesondere in Bezug auf die Wegweisung (Dispositivziffern 1-5 sowie 8) am 8. Juli 2020 in Rechtskraft (MI-act. 78 f.). Die am 30. Juli 2020 gegen die Erfassung der Personendaten im ZEMIS (Dispositivziffern 6 und 7) erhobene Beschwerde wies das Bundesverwaltungsgericht mit Urteil vom 19. April 2021 ab, womit auch dieser Teil der Verfügung des SEM in Rechtskraft erwuchs (MI-act. 100 ff.). Damit liegt ein rechtsgenüglicher Wegweisungsentscheid vor.</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3.</w:t>
      </w:r>
    </w:p>
    <w:p>
      <w:r>
        <w:rPr>
          <w:b/>
        </w:rPr>
        <w:t>E. 3</w:t>
      </w:r>
    </w:p>
    <w:p>
      <w:r>
        <w:t>Die Haft wird im Zentrum für ausländerrechtliche Administrativhaft Zürich oder im Zentralgefängnis Lenzburg vollzogen.</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w:t>
      </w:r>
    </w:p>
    <w:p>
      <w:r>
        <w:t>- 8 -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w:t>
      </w:r>
    </w:p>
    <w:p>
      <w:r>
        <w:rPr>
          <w:b/>
        </w:rPr>
        <w:t>E. 3.2</w:t>
      </w:r>
    </w:p>
    <w:p>
      <w:r>
        <w:t>Die Gesuchsgegnerin ist aufgrund der rechtskräftigen Wegweisungsverfügung seit dem 8. Juni 2020 verpflichtet, die Schweiz zu verlassen (MI-act. 78 f.). Von konkreten Anzeichen für Untertauchensgefahr ist spätestens ab dem 12. Mai 2022 auszugehen, da die Gesuchsgegnerin an diesem Tag einen für sie gebuchten, unbegleiteten Flug nach Bengaluru/Indien nicht antrat (MI-act. 231 f.). Dieses Verhalten macht deutlich, dass sie sich behördlichen Anordnungen widersetzt und sich der Ausschaffung entziehen will. Die Untertauchensgefahr besteht umso deutlicher, als die Gesuchsgegnerin sowohl im Rahmen des rechtlichen Gehörs, welches ihr vorgängig vor der Haftanordnung gestützt auf Art. 76 AIG am 30. Mai 2022 gewährt wurde, als auch anlässlich der mündlichen Haftverhandlung weigerte, vorbehaltlos nach Indien zurückzukehren (MI-act. 264, Protokoll S. 3, act. 48). Unter diesen Umständen steht fest, dass die Gesuchsgegnerin mit ihrem bisherigen Verhalten klare Anzeichen für eine Untertauchensgefahr gesetzt hat, und es ist nicht davon auszugehen, dass sie nach ihrer Entlassung aus der Ausschaffungshaft die Schweiz freiwillig in Richtung Indien verlassen würde. Damit ist der Haftgrund von Art. 76 Abs. 1 lit. b Ziff. 3 und 4 AIG erfüllt.</w:t>
      </w:r>
    </w:p>
    <w:p>
      <w:r>
        <w:rPr>
          <w:b/>
        </w:rPr>
        <w:t>E. 4</w:t>
      </w:r>
    </w:p>
    <w:p>
      <w:r>
        <w:t>Bezüglich der Haftbedingungen liegen keine Beanstandungen vor, die geeignet wären, die Haft als unverhältnismässig zu bezeichnen (Protokoll S. 3, act. 48).</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drei Monate an. Nachdem der Vollzug der Rückführung massgeblich vom Verhalten der Gesuchsgegnerin abhängig ist und es diesbezüglich zu Verzögerungen kommen kann, ist die beantragte Haftdauer nicht zu beanstanden. Im Übrigen ist festzuhalten, dass das MIKA bisher stets bemüht war, Ausschaffungen so rasch wie möglich zu vollziehen. Sollte das MIKA</w:t>
      </w:r>
    </w:p>
    <w:p>
      <w:r>
        <w:t>- 9 -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Eine mildere Massnahme zur Sicherstellung des Vollzugs der Wegweisung ist nicht ersichtlich. Entgegen den Vorbringen des Rechtsvertreters der Gesuchsgegnerin reicht eine Meldepflicht oder eine Eingrenzung vorliegend nicht aus, da dadurch nicht sichergestellt werden kann, dass die Gesuchsgegnerin tatsächlich ausreisen wird. Dies gilt umso mehr als die Gesuchsgegnerin bereits einen Rückflug verweigert hat. Bezüglich der familiären Verhältnisse ergeben sich keine Anhaltspunkte, welche gegen eine Haftanordnung sprechen würden. Daran ändert auch der Umstand nichts, dass offenbar die Mutter der Gesuchsgegnerin in der Schweiz lebt. Die Gesuchsgegnerin macht auch nicht geltend, sie sei nicht hafterstehungsfähig. Insgesamt sind keinerlei Gründe ersichtlich, welche die angeordnete Haft als unverhältnismässig erscheinen liessen. III. 1. Gemäss § 28 Abs. 1 EGAR ist das Verfahren betreffend Haftüberprüfung unentgeltlich. Demgemäss werden keine Kosten erhoben. 2. Der Gesuchsgegnerin ist gemäss § 27 Abs. 2 EGAR zwingend ein amtlicher Rechtsvertreter zu bestellen, da der Gesuchsteller eine Haft für eine Dauer von mehr als 30 Tagen anordnete. Da der frühere Rechtsvertreter der Gesuchsgegnerin verhindert ist an der heutigen Verhandlung teilzunehmen, ist dieser aus seinen Amt zu entlassen und ist ein neuer Rechtsvertreter einzusetzen. Der neue Vertreter der Gesuchsgegnerin wird aufgefordert, nach Haftentlassung der Gesuchsgegnerin seine Kostennote einzureichen. IV. 1. Die Gesuchsgegnerin wird darauf hingewiesen, dass ein Haftentlassungsgesuch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w:t>
      </w:r>
    </w:p>
    <w:p>
      <w:r>
        <w:t>- 10 - und Verwaltungsentscheide [AGVE] 2009, S. 359 Erw. I/4.3 ff.). Im Rahmen des rechtlichen Gehörs hat das MIKA der Gesuchsgegnerin daher die Frage zu unterbreiten, ob sie die Durchführung einer mündlichen Verhandlung wünscht und ob sie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