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WPR.2022.28 vom 21. April 2022</w:t>
      </w:r>
    </w:p>
    <w:p>
      <w:r>
        <w:t>AG Verwaltungsgericht, 2022-04-21, DE</w:t>
      </w:r>
    </w:p>
    <w:p>
      <w:r>
        <w:rPr>
          <w:b/>
        </w:rPr>
        <w:t xml:space="preserve">Quelle: </w:t>
      </w:r>
      <w:r>
        <w:t>https://mcp.opencaselaw.ch/entscheid/ag_verwaltungsgericht_WPR.2022.28</w:t>
      </w:r>
    </w:p>
    <w:p>
      <w:r>
        <w:t>FR: AG_VERWALTUNGSGERICHT WPR.2022.28 du 21 avril 2022</w:t>
      </w:r>
    </w:p>
    <w:p>
      <w:r>
        <w:t>IT: AG_VERWALTUNGSGERICHT WPR.2022.28 del 21 aprile 2022</w:t>
      </w:r>
    </w:p>
    <w:p>
      <w:pPr>
        <w:pStyle w:val="Heading2"/>
      </w:pPr>
      <w:r>
        <w:t>Erwägungen</w:t>
      </w:r>
    </w:p>
    <w:p>
      <w:r>
        <w:rPr>
          <w:b/>
        </w:rPr>
        <w:t>E. 2</w:t>
      </w:r>
    </w:p>
    <w:p>
      <w:r>
        <w:t>Die Haft begann am 19. April 2022, 14.00 Uhr. Sie wird in Anwendung von Art. 77 AIG für 60 Tage bis zum 17. Juni 2022,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2. April 2020 lehnte das SEM das Asylgesuch des Ge- suchsgegners ab und wies ihn aus der Schweiz weg (MI-act. 20 ff.). Die</w:t>
      </w:r>
    </w:p>
    <w:p>
      <w:r>
        <w:t>- 5 - dagegen erhobene Beschwerde wies das Bundesverwaltungsgericht mit Urteil vom 20. Oktober 2020 ab (MI-act. 31 ff.). Das Wiedererwägungsge- such des Gesuchsgegners vom 28. Dezember 2020 wurde mit Verfügung des SEM vom 15. Januar 2021 abgewiesen, womit der Asyl- und Wegwei- sungsentscheid des SEM vom 2. April 2020 rechtskräftig ist (MI-act. 65 ff.). Damit liegt ein rechtskräftiger – und da der Gesuchsgegner die Schweiz soweit ersichtlich zwischenzeitlich nie verlassen hat – vollstreckbarer Weg- 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Dies umso weniger, als die sri-lankischen Behörden den Gesuchsgeg- ner als sri-lankischen Staatsangehörigen identifiziert und für ihn ein Ersatz- reisedokument ausgestellt haben (MI-act. 101 ff., 116).</w:t>
      </w:r>
    </w:p>
    <w:p>
      <w:r>
        <w:rPr>
          <w:b/>
        </w:rPr>
        <w:t>E. 3</w:t>
      </w:r>
    </w:p>
    <w:p>
      <w:r>
        <w:t>Die Haft wird im Ausschaffungszentrum Aarau oder im Zentrum für aus- länderrechtliche Administrativhaft Zürich vollzogen. C. Nach Eingang der Akten beim Verwaltungsgericht des Kantons Aargau wurde dem Gesuchsgegner ein amtlicher Rechtsvertreter bestellt. Dieser wurde nach Übergabe der Akten aufgefordert, bis zum 21. April 2022, 08.00 Uhr, zur angeordneten Ausschaffungshaft Stellung zu nehmen (act. 5 f.). D. Am 20. April 2022, 15.27 Uhr reichte der Rechtsvertreter des Gesuchs- gegners seine Stellungnahme ein, in dem er sich mit der Haftanordnung – unter Vorbehalt von Art. 80 Abs. 5 des Bundesgesetzes über die Aus- länderinnen und Ausländer und über die Integration vom 16. Dezember 2005 (Ausländer- und Integrationsgesetz, AIG; SR 142.20) – einverstan- den erklärte (act. 10).</w:t>
      </w:r>
    </w:p>
    <w:p>
      <w:r>
        <w:t>- 4 - Der Einzelrichter zieht in Erwägung: I. 1. Das angerufene Gericht überprüft die Rechtmässigkeit und Angemessen- heit einer durch das MIKA gestützt auf Art. 77 AIG angeordneten Ausschaf- fungshaft spätestens nach 96 Stunden, wobei die Haftüberprüfung in einem schriftlichen Verfahren erfolgt (Art. 80 Abs. 2 AIG; § 6 des Einführungsge- setzes zum Ausländerrecht vom 25. November 2008 (EGAR; SAR 122.600). Die Haftüberprüfungsfrist beginnt mit der ausländerrechtlich motivierten Anhaltung der betroffenen Person zu laufen (vgl. BGE 127 II 174, Erw. 2. b/aa). 2. Im vorliegenden Fall erschien der Gesuchsgegner am 19. April 2022, 14.00 Uhr beim MIKA und wurde im Anschluss an die Befragung festge- nommen. Die heutige Überprüfung erfolgt somit innerhalb von 96 Stunden. Da die Ausschaffungshaft gestützt auf Art. 77 AIG angeordnet wurde, ge- langt das schriftliche Verfahren ohne Verhandlung zur Anwendung (Art. 80 Abs. 2 AIG). II. 1. Liegt ein vollstreckbarer Weg- oder Ausweisungsentscheid vor, kann die zuständige kantonale Behörde die betroffene Person zur Sicherstellung des Vollzugs in Haft nehmen (Art. 77 AIG). Zuständige kantonale Behörde im Sinne von Art. 77 Abs. 1 AIG ist gemäss § 13 Abs. 1 EGAR das MIKA. Im vorliegenden Fall wurde die Haftanord- nung durch das MIKA und damit durch die zuständige Behörde erlassen (act. 1 ff.). 2.</w:t>
      </w:r>
    </w:p>
    <w:p>
      <w:r>
        <w:rPr>
          <w:b/>
        </w:rPr>
        <w:t>E. 3.1</w:t>
      </w:r>
    </w:p>
    <w:p>
      <w:r>
        <w:t>Das MIKA stützt seine Haftanordnung auf Art. 77 AIG, wonach ein Haft- grund dann gegeben ist, wenn ein vollstreckbarer Wegweisungsentscheid vorliegt (lit. a), die betroffene Person die Schweiz nicht innert der angesetz- ten Frist verlassen hat (lit b) und die Behörden Reisepapiere für diese Per- son beschaffen mussten (lit. c). Ziel der Ausschaffungshaft gemäss Art. 77 AIG (sogenannte "kleine Aus- schaffungshaft") ist es, zu verhindern, dass die betroffene Person unter- taucht, nachdem die Reisepapiere für sie organisiert wurden. Art. 77 AIG erfasst diejenigen Fälle, in welchen es nur noch darum geht, die Ausreise zu organisieren, weshalb die maximale Haftdauer auch auf 60 Tage fest- gesetzt wurde.</w:t>
      </w:r>
    </w:p>
    <w:p>
      <w:r>
        <w:rPr>
          <w:b/>
        </w:rPr>
        <w:t>E. 3.2</w:t>
      </w:r>
    </w:p>
    <w:p>
      <w:r>
        <w:t>Der Gesuchsgegner gab anlässlich des Ausreisegesprächs beim MIKA am 16. Februar 2021 zu Protokoll, er sei nicht zur Rückkehr nach Sri Lanka bereit, verfüge über keine gültigen Reisepapiere und könne auch keine sol- chen organisieren (MI-act. 75 ff.), woraufhin das MIKA das SEM gleichen- tags um Vollzugsunterstützung ersuchte (MI-act. 89 ff.). Infolgedessen reichte das SEM bei der sri-lankischen Vertretung in Genf ein Gesuch um Ausstellung eines Ersatzreisepapiers für den Gesuchsgegner ein (MI- act. 93 ff.) und teilte dem MIKA am 26. Oktober 2021 mit, der Gesuchsgeg- ner sei durch die sri-lankischen Behörden als sri-lankischer Staatsangehö-</w:t>
      </w:r>
    </w:p>
    <w:p>
      <w:r>
        <w:t>- 6 - riger identifiziert und die Ausstellung eines Ersatzreisedokuments sei – un- ter der Voraussetzung einer bestehenden Flugbuchung – zugesichert wor- den (MI-act. 101 ff.). Nachdem der Gesuchsgegner für einen unbegleiteten Flug am 22. April 2022 nach Sri Lanka angemeldet worden war (MI- act. 106 ff., 110 ff.), stellten die sri-lankischen Behörden dem Gesuchsgeg- ner am 10. März 2022 ein bis zum 6. September 2022 gültiges Ersatzreise- dokument aus (MI-act. 116). Nachdem ein vollstreckbarer Wegweisungsentscheid für den Gesuchsgeg- ner vorliegt (siehe vorne Erw. II/2.2), er nicht innert angesetzter Frist aus der Schweiz ausgereist ist und er wie soeben aufgezeigt, die Beschaffung der erforderlichen Reisepapiere gänzlich den Schweizer Behörden über- lassen hat, ist die Voraussetzung von Art. 77 Abs. 1 AIG erfüllt. Weiterer subjektiver Voraussetzungen in der Person des Gesuchsgegners bedarf es nicht (ANDREAS ZÜND, in: MARC SPESCHA/ANDREAS ZÜND/PETER BOLZLI/CONSTANTIN HRUSCHKA/FANNY DE WECK [Hrsg.], Kommentar Migra- tionsrecht, 5. Aufl., Zürich 2019, N. 1 zu Art. 77).</w:t>
      </w:r>
    </w:p>
    <w:p>
      <w:r>
        <w:rPr>
          <w:b/>
        </w:rPr>
        <w:t>E. 4</w:t>
      </w:r>
    </w:p>
    <w:p>
      <w:r>
        <w:t>Bezüglich der Haftbedingungen liegen keine Beanstandungen vor.</w:t>
      </w:r>
    </w:p>
    <w:p>
      <w:r>
        <w:rPr>
          <w:b/>
        </w:rPr>
        <w:t>E. 5</w:t>
      </w:r>
    </w:p>
    <w:p>
      <w:r>
        <w:t>Es liegen auch keine Anzeichen dafür vor, dass das MIKA dem Beschleu- nigungsgebot (Art. 76 Abs. 4 AIG) nicht ausreichend Beachtung geschenkt hätte.</w:t>
      </w:r>
    </w:p>
    <w:p>
      <w:r>
        <w:rPr>
          <w:b/>
        </w:rPr>
        <w:t>E. 6</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Insbesondere wäre eine Meldepflicht aufgrund der gesetzlichen Vermutung der Untertauchensge- fahr keinesfalls zielführend. Bezüglich der familiären Verhältnisse ergeben sich keine Anhaltspunkte, welche gegen eine Haftanordnung sprechen würden. Auch macht der Gesuchsgegner nicht geltend, er sei nicht hafter- stehungsfähig. Insgesamt sind keinerlei Gründe ersichtlich, welche die an- geordnete Haft als unverhältnismässig erscheinen liessen.</w:t>
      </w:r>
    </w:p>
    <w:p>
      <w:r>
        <w:rPr>
          <w:b/>
        </w:rPr>
        <w:t>E. 7</w:t>
      </w:r>
    </w:p>
    <w:p>
      <w:r>
        <w:t>Das MIKA ordnete die Ausschaffungshaft für 60 Tage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w:t>
      </w:r>
    </w:p>
    <w:p>
      <w:r>
        <w:t>- 7 - möglich zu vollziehen. Sollte das MIKA entgegen seiner bisherigen Ge- wohnheit das Beschleunigungsgebot verletzen, besteht die Möglichkeit,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