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WPR.2022.27 vom 14. April 2022</w:t>
      </w:r>
    </w:p>
    <w:p>
      <w:r>
        <w:t>AG Verwaltungsgericht, 2022-04-14, DE</w:t>
      </w:r>
    </w:p>
    <w:p>
      <w:r>
        <w:rPr>
          <w:b/>
        </w:rPr>
        <w:t xml:space="preserve">Quelle: </w:t>
      </w:r>
      <w:r>
        <w:t>https://mcp.opencaselaw.ch/entscheid/ag_verwaltungsgericht_WPR.2022.27</w:t>
      </w:r>
    </w:p>
    <w:p>
      <w:r>
        <w:t>FR: AG_VERWALTUNGSGERICHT WPR.2022.27 du 14 avril 2022</w:t>
      </w:r>
    </w:p>
    <w:p>
      <w:r>
        <w:t>IT: AG_VERWALTUNGSGERICHT WPR.2022.27 del 14 aprile 2022</w:t>
      </w:r>
    </w:p>
    <w:p>
      <w:pPr>
        <w:pStyle w:val="Heading2"/>
      </w:pPr>
      <w:r>
        <w:t>Erwägungen</w:t>
      </w:r>
    </w:p>
    <w:p>
      <w:r>
        <w:rPr>
          <w:b/>
        </w:rPr>
        <w:t>E. 2</w:t>
      </w:r>
    </w:p>
    <w:p>
      <w:r>
        <w:t>Die Haft begann am 13. April 2022, 15.58 Uhr. Sie wird in Anwendung von Art. 76 AIG für 30 Tage bis zum 12. Mai 2022, 12.00 Uhr, angeordnet.</w:t>
      </w:r>
    </w:p>
    <w:p>
      <w:r>
        <w:t>- 3 -</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MIKA hat den Gesuchsgegner mit Verfügung vom 13. April 2022 unter Anordnung der sofortigen Vollstreckbarkeit aus der Schweiz, dem Schengen-Raum sowie der Europäischen Union weggewiesen (MI- act. 41 ff.). Diese Verfügung wurde dem Gesuchsgegner gleichentags um 17.30 Uhr eröffnet (MI-act. 44), womit ein rechtsgenüglicher Weg- weisungsentscheid vorliegt.</w:t>
      </w:r>
    </w:p>
    <w:p>
      <w:r>
        <w:rPr>
          <w:b/>
        </w:rPr>
        <w:t>E. 2.3</w:t>
      </w:r>
    </w:p>
    <w:p>
      <w:r>
        <w:t>Es sind keine Anzeichen vorhanden, die an der Ausschaffungsmöglichkeit in tatsächlicher oder rechtlicher Hinsicht Zweifel aufkommen lassen würden. Dies umso weniger, als für den Gesuchsgegner bereits ein Flug in sein Heimatland gebucht werden konnte (MI-act. 36) und ein Reisedokument vorliegt (MI-act. 1).</w:t>
      </w:r>
    </w:p>
    <w:p>
      <w:r>
        <w:rPr>
          <w:b/>
        </w:rPr>
        <w:t>E. 3</w:t>
      </w:r>
    </w:p>
    <w:p>
      <w:r>
        <w:t>Das MIKA ordnete am 13. April 2022 eine Ausschaffungshaft für 30 Tage an. Den Akten ist zu entnehmen, dass für den Gesuchsgegner auf den 16. April 2022 ein Rückflug nach Pristina gebucht wurde (MI-act. 36). Unter diesen Umständen ist davon auszugehen, dass die Ausschaffung des Gesuchsgegners voraussichtlich innerhalb von acht Tagen nach der Haftanordnung erfolgen wird. Nachdem der Gesuchsgegner sein</w:t>
      </w:r>
    </w:p>
    <w:p>
      <w:r>
        <w:t>- 4 - schriftliches Einverständnis erklärt hat, kann auf die Durchführung einer mündlichen Verhandlung verzichtet werden (Art. 80 Abs. 3 AIG). II. 1. Wurde ein erstinstanzlicher Weg- oder Ausweisungsentscheid eröffnet,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w:t>
      </w:r>
    </w:p>
    <w:p>
      <w:r>
        <w:t>- 5 - 26.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wies sich anlässlich der Kontrolle durch die Kantonspolizei Aargau mit einem nicht ihm zustehenden serbischen Reisepass aus und führte einen gefälschten slowenischen Führerausweis mit sich (MI-act. 2 f., 9, 22 f.).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Dementsprechend ist in diesen Fällen die Gefahr des Untertauchens regelmässig zu bejahen. Der Gesuchsgegner äusserte sich zwar anlässlich der Gewährung des rechtlichen Gehörs betreffend die Anordnung einer Ausschaffungshaft gegenüber dem MIKA dahingehend, dass er bereit sei, die Schweiz in Richtung Kosovo zu verlassen (MI-act. 45). Angesichts seines bisherigen Verhaltens, insbesondere angesichts der Verwendung einer falschen Identität, erscheint die geäusserte Bereitschaft zur freiwilligen Ausreise</w:t>
      </w:r>
    </w:p>
    <w:p>
      <w:r>
        <w:t>- 6 - indes als blosse Schutzbehauptung, um die drohende Ausschaffungshaft abzuwenden und ist als unglaubhaft zu qualifizieren. Unter diesen Umständen steht fest, dass der Gesuchsgegner mit seinem bisherigen Verhalten klare Anzeichen für eine Untertauchensgefahr gesetzt hat, und es ist nicht davon auszugehen, dass er nach einer Entlassung aus der Ausschaffungshaft die Schweiz freiwillig in Richtung Kosovo verlassen würde. Damit ist auch der Haftgrund von Art. 76 Abs. 1 lit. b Ziff. 3 und 4 AIG erfüllt.</w:t>
      </w:r>
    </w:p>
    <w:p>
      <w:r>
        <w:rPr>
          <w:b/>
        </w:rPr>
        <w:t>E. 3.2</w:t>
      </w:r>
    </w:p>
    <w:p>
      <w:r>
        <w:t>Das MIKA stützt seine Haftanordnung zudem auf Art. 76 Abs. 1 lit. b Ziff. 1 AIG i.V.m. Art. 75 Abs. 1 lit. c AIG. Gemäss diesen Bestimmungen liegt ein Haftgrund dann vor, wenn ein Betroffener trotz Einreiseverbot das Gebiet der Schweiz betritt und nicht sofort weggewiesen werden kann. Obwohl das SEM am 5. Januar 2022 ein Einreiseverbot bis zum 10. Januar 2025 gegen den Gesuchsgegner verfügt hatte (MI-act. 4 f.), welches dem Gesuchsgegner am 6. Januar 2022 eröffnet wurde (MI-act. 53, vgl. auch MI-act. 26), reiste er eigenen Angaben zufolge am 1. April 2022 erneut in die Schweiz ein (MI-act. 26). Damit missachtete er das Einreiseverbot, womit die erste Tatbestandsvoraussetzung von Art. 76 Abs. 1 lit. b Ziff. 1 i.V.m. Art. 75 Abs. 1 lit. c AIG erfüllt ist. Da die unbegleitete Rückführung nach Pristina am 16. April 2022 stattfinden wird (MI-act. 12, 36), kann der Gesuchsgegner zwar bald, jedoch nicht sofort ausgeschafft werden, womit auch die zweite Tatbestandsvoraussetzung erfüllt ist. Demnach ist auch der Haftgrund von Art. 76 Abs. 1 lit. b Ziff. 1 AIG i.V.m. Art. 75 Abs. 1 lit. c AIG gegeben.</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Weiter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keinerlei Gewähr</w:t>
      </w:r>
    </w:p>
    <w:p>
      <w:r>
        <w:t>- 7 - für eine ordnungsgemässe Ausreise in sein Heimatland, weshalb die Anordnung einer Eingrenzung in Kombination mit einer Meldepflicht nicht zielführend wäre. Bezüglich der familiären Verhältnisse ergeben sich keine Anhaltspunkte, welche gegen eine Haftanordnung sprechen würden. Der Gesuchsgegner macht auch nicht geltend, er sei nicht hafterstehungsfähig.</w:t>
      </w:r>
    </w:p>
    <w:p>
      <w:r>
        <w:rPr>
          <w:b/>
        </w:rPr>
        <w:t>E. 7</w:t>
      </w:r>
    </w:p>
    <w:p>
      <w:r>
        <w:t>Das MIKA ordnete die Ausschaffungshaft für 30 Tage an. Dies ist grundsätzlich nicht zu beanstanden. Im vorliegenden Fall wurde aber aufgrund des Einverständnisses des Gesuchsgegners auf die Durchführung einer mündlichen Verhandlung verzichtet. Gemäss Art. 80 Abs. 3 AIG ist die mündliche Verhandlung spätestens 12 Tage nach der Haftanordnung nachzuholen, wenn die betroffene Person nicht innert acht Tagen nach der Haftanordnung ausgeschafft werden kann. Unter diesen Umständen ist es angezeigt, die Haft nur für 12 Tage (seit Haftanordnung), d.h. bis zum 24. April 2022, 12.00 Uhr, zu bestätigen. III. Gemäss § 28 Abs. 1 EGAR ist das Verfahren betreffend Haftüberprüfung unentgeltlich. Demgemäss werden keine Kosten erhoben. IV. Nachdem der Gesuchsgegner kein Deutsch versteht, nicht anwaltlich vertreten ist und aufgrund der Inhaftierung auch nicht in der Lage ist, sich das Urteil übersetzen zu lassen, ist das MIKA anzuweisen, dem Gesuchsgegner das vorliegende Urteil in einer für ihn verständlichen Weise zu eröffnen und dem Verwaltungsgericht eine Bestätigung der Urteilseröffnung zukommen zu lassen.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