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WPR.2022.24 vom 1. April 2022</w:t>
      </w:r>
    </w:p>
    <w:p>
      <w:r>
        <w:t>AG Verwaltungsgericht, 2022-04-01, DE</w:t>
      </w:r>
    </w:p>
    <w:p>
      <w:r>
        <w:rPr>
          <w:b/>
        </w:rPr>
        <w:t xml:space="preserve">Quelle: </w:t>
      </w:r>
      <w:r>
        <w:t>https://mcp.opencaselaw.ch/entscheid/ag_verwaltungsgericht_WPR.2022.24</w:t>
      </w:r>
    </w:p>
    <w:p>
      <w:r>
        <w:t>FR: AG_VERWALTUNGSGERICHT WPR.2022.24 du 1 avril 2022</w:t>
      </w:r>
    </w:p>
    <w:p>
      <w:r>
        <w:t>IT: AG_VERWALTUNGSGERICHT WPR.2022.24 del 1 aprile 2022</w:t>
      </w:r>
    </w:p>
    <w:p>
      <w:pPr>
        <w:pStyle w:val="Heading2"/>
      </w:pPr>
      <w:r>
        <w:t>Erwägungen</w:t>
      </w:r>
    </w:p>
    <w:p>
      <w:r>
        <w:rPr>
          <w:b/>
        </w:rPr>
        <w:t>E. 2</w:t>
      </w:r>
    </w:p>
    <w:p>
      <w:r>
        <w:t>Die Haft begann am 30. März 2022, 13.40 Uhr. Sie wird in Anwendung von Art. 76 AIG für drei Monate bis zum 29. Juni 2022,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hat den Gesuchsgegner mit Verfügung vom 11. Juni 2021 aus der Schweiz sowie dem Schengen-Raum weggewiesen (MI-act. 65 ff.).</w:t>
      </w:r>
    </w:p>
    <w:p>
      <w:r>
        <w:t>- 5 - Dieser Entscheid ist am 16. Juli 2021 in Rechtskraft erwachsen (MI- act. 75 f.), womit ein rechtsgenüglicher Wegweisungsentscheid vorliegt.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w:t>
      </w:r>
    </w:p>
    <w:p>
      <w:r>
        <w:rPr>
          <w:b/>
        </w:rPr>
        <w:t>E. 3</w:t>
      </w:r>
    </w:p>
    <w:p>
      <w:r>
        <w:t>Die Verfahrens- und Vollzugskosten seien auf die Staatskasse zu nehmen.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t>- 6 -</w:t>
      </w:r>
    </w:p>
    <w:p>
      <w:r>
        <w:rPr>
          <w:b/>
        </w:rPr>
        <w:t>E. 3.2</w:t>
      </w:r>
    </w:p>
    <w:p>
      <w:r>
        <w:t>Der Gesuchsgegner hat sich anlässlich des Ausreisegesprächs vom</w:t>
      </w:r>
    </w:p>
    <w:p>
      <w:r>
        <w:rPr>
          <w:b/>
        </w:rPr>
        <w:t>E. 4</w:t>
      </w:r>
    </w:p>
    <w:p>
      <w:r>
        <w:t>Dem amtlichen Rechtsvertreter sei eine angemessene Entschädigung zuzusprechen.</w:t>
      </w:r>
    </w:p>
    <w:p>
      <w:r>
        <w:t>- 4 -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EGAR). Die Haftüberprüfungsfrist beginnt mit der ausländerrechtlich motivierten Anhaltung der betroffenen Person zu laufen (vgl. BGE 127 II 174, Erw. 2. b/aa). 2. Im vorliegenden Fall wurde der Gesuchsgegner am 30. März 2022, 13.40 Uhr, angehalten (MI-act. 205). Die mündliche Verhandlung begann am 1. April 2022, 15.00 Uhr; das Urteil wurde um 15.29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 anordnung durch das MIKA und damit durch die zuständige Behörde erlassen (act. 1 ff.). 2.</w:t>
      </w:r>
    </w:p>
    <w:p>
      <w:r>
        <w:rPr>
          <w:b/>
        </w:rPr>
        <w:t>E. 9</w:t>
      </w:r>
    </w:p>
    <w:p>
      <w:r>
        <w:t>September 2021 sowie anlässlich der Gewährung des rechtlichen Gehörs betreffend die Anordnung einer Ausschaffungshaft dahingehend geäussert, dass er nicht gewillt sei, nach dem Irak zurückzukehren (MI- act. 90 f., 206). Wie das MIKA in der Haftanordnung richtig ausführt, ist hierin nach der Rechtsprechung des Bundesgerichts grundsätzlich ein Anzeichen für das Vorliegen einer Untertauchensgefahr zu sehen (BGE 140 II 1, Erw. 5.3). Anlässlich der heutigen Verhandlung erklärte sich der Gesuchsgegner nun jedoch erstmals bereit, die Schweiz in Richtung Irak zu verlassen, nachdem ihn der Einzelrichter darauf hingewiesen hatte, dass ihm bei Antritt der Flugreise ein Ausreisegeld in Höhe von Fr. 2'000.00 ausgerichtet werde (Protokoll S. 3, act. 33). Nachdem er über dieses Ausreisegeld gemäss Angabe des MIKA zuvor noch nicht informiert worden war (Protokoll S. 3, act. 33), erscheint sein Sinneswandel hinsichtlich der Ausreise plausibel und nicht als blosse Schutzbehauptung. Auch wenn sich erst weisen muss, ob der Gesuchsgegner nun tatsächlich zur Rückkehr in den Irak bereit ist, ist es vor diesem Hintergrund unzulässig, einzig aus seinen früheren entgegengesetzen Aussagen auf das Vorliegen einer Untertauchensgefahr zu schliessen. Nichts anderes ergibt eine Beurteilung des übrigen bisherigen Verhaltens des Gesuchsgegners. Insbesondere spricht der Umstand, dass er sich – soweit ersichtlich – bisher stets an der ihm zugewiesenen Unterkunft aufgehalten hat – dies auch, nachdem ihm der Einsatz von polizeilichen Zwangsmitteln beim Vollzug der Wegweisung angedroht worden war (MI- act. 91) –, gegen das Vorliegen einer Untertauchensgefahr (vgl. Urteil des Bundesgerichts 2C_478/2012 vom 14. Juni 2012, Erw. 2.2). Insgesamt ist daher festzustellen, dass nicht genügend Anzeichen für das Vorliegen einer Untertauchensgefahr bestehen und mithin der Haftgrund von Art. 76 Abs. 1 lit. b Ziff. 3 und 4 AIG nicht erfüllt ist. Da auch kein weiterer Haftgrund ersichtlich ist, ist die angeordnete Ausschaffungshaft demzufolge nicht zu bestätigen und der Gesuchsgegner unverzüglich aus der Haft zu entlassen. 4. Anzufügen ist, dass im vorliegenden Fall die Haftanordnung selbst bei Vorliegen eines Haftgrundes auch deshalb nicht zu bestätigen wäre, weil sie gegen das Prinzip der Verhältnismässigkeit verstiesse: So wäre vorliegend etwa auch eine Eingrenzung verbunden mit einer Meldepflicht als milderes Mittel zweckmässig erschienen, den Vollzug der Wegweisung sicherzustellen. Dies namentlich angesichts dessen, dass sich der Gesuchsgegner bisher – wie bereits erwähnt (siehe vorne Erw. 3.2) – stets in der ihm zugewiesenen Unterkunft aufgehalten hat – insbesondere auch dann noch, als bereits ein konkretes Ausreisedatum bekannt geworden war.</w:t>
      </w:r>
    </w:p>
    <w:p>
      <w:r>
        <w:t>- 7 -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