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WPR.2022.21 vom 18. März 2022</w:t>
      </w:r>
    </w:p>
    <w:p>
      <w:r>
        <w:t>AG Verwaltungsgericht, 2022-03-18, DE</w:t>
      </w:r>
    </w:p>
    <w:p>
      <w:r>
        <w:rPr>
          <w:b/>
        </w:rPr>
        <w:t xml:space="preserve">Quelle: </w:t>
      </w:r>
      <w:r>
        <w:t>https://mcp.opencaselaw.ch/entscheid/ag_verwaltungsgericht_WPR.2022.21</w:t>
      </w:r>
    </w:p>
    <w:p>
      <w:r>
        <w:t>FR: AG_VERWALTUNGSGERICHT WPR.2022.21 du 18 mars 2022</w:t>
      </w:r>
    </w:p>
    <w:p>
      <w:r>
        <w:t>IT: AG_VERWALTUNGSGERICHT WPR.2022.21 del 18 marzo 2022</w:t>
      </w:r>
    </w:p>
    <w:p>
      <w:pPr>
        <w:pStyle w:val="Heading2"/>
      </w:pPr>
      <w:r>
        <w:t>Erwägungen</w:t>
      </w:r>
    </w:p>
    <w:p>
      <w:r>
        <w:rPr>
          <w:b/>
        </w:rPr>
        <w:t>E. 2</w:t>
      </w:r>
    </w:p>
    <w:p>
      <w:r>
        <w:t>Die Haft begann am 16. März 2022, 14.15 Uhr. Sie wird in Anwendung von Art. 76 AIG für drei Monate bis zum 15. Juni 2022, 12.00 Uhr, angeordnet.</w:t>
      </w:r>
    </w:p>
    <w:p>
      <w:r>
        <w:rPr>
          <w:b/>
        </w:rPr>
        <w:t>E. 2.1</w:t>
      </w:r>
    </w:p>
    <w:p>
      <w:r>
        <w:t>Das MIKA begründet seine Haftanordnung damit, dass es den Gesuchs- 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MIKA hat den Gesuchsgegner mit Verfügung vom 16. März 2022 unter Anordnung der sofortigen Vollstreckbarkeit aus der Schweiz, dem Schengen-Raum sowie der Europäischen Union weggewiesen (MI- act. 48 ff.). Diese Verfügung wurde dem Gesuchsgegner gleichentags um 13.30 Uhr eröffnet (MI-act. 51), womit ein rechtsgenüglicher Wegweisungs- entscheid vorliegt.</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3.</w:t>
      </w:r>
    </w:p>
    <w:p>
      <w:r>
        <w:rPr>
          <w:b/>
        </w:rPr>
        <w:t>E. 3</w:t>
      </w:r>
    </w:p>
    <w:p>
      <w:r>
        <w:t>Eventuell: Es sei als Ersatzmassnahme dem Gesuchsgegner die Auflage zu erteilen, sich regelmässig bei einer richterlich zu bestimmenden Amts- stelle zu melden.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w:t>
      </w:r>
    </w:p>
    <w:p>
      <w:r>
        <w:t>- 5 -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rPr>
          <w:b/>
        </w:rPr>
        <w:t>E. 3.2</w:t>
      </w:r>
    </w:p>
    <w:p>
      <w:r>
        <w:t>Der Gesuchsgegner wies sich anlässlich der Kontrolle durch die Kantonspolizei Aargau mit drei gefälschten slowenischen Dokumenten aus (MI-act. 1, 21, 44 ff.). Wer eine falsche Identität oder einen gefälschten Ausweis verwendet, bietet gemäss ständiger Praxis des Verwaltungs- gerichts wie auch des Bundesgerichts keine Gewähr für eine selbst- ständige Ausreise (vgl. Entscheid des Verwaltungsgerichts WPR.2016.49 vom 21. März 2016, Erw. 3.2 sowie BGE 122 II 49, Erw. 2a). In diesen Fällen ist die Untertauchensgefahr dementsprechend regelmässig zu be- jahen. Der Gesuchsgegner behauptet zwar, er habe nicht gewusst, dass es sich bei den von ihm mitgeführten slowenischen Ausweisen um Fälschungen handelte (MI-act. 27 ff., 56; Protokoll S. 2, act. 32). Nachdem er die Dokumente eigenen Angaben zufolge bei einer nicht näher beschriebenen Person in Tirana für € 3000.00 gekauft hat und diese auf seinen richtigen Namen lauten (MI-act. 29 f., 44 f.), sind diese Angaben nicht glaubhaft, da</w:t>
      </w:r>
    </w:p>
    <w:p>
      <w:r>
        <w:t>- 6 - dem Gesuchsgegner klar sein musste, dass er auf diese Weise nicht die slowenische Staatsangehörigkeit erwerben und demnach die Papiere nicht echt sein konnten. Auf Rückfragen des MIKA in diesem Sinne anlässlich der Befragung vom 16. März 2022 antwortete der Gesuchsgegner lediglich vage, er kenne nicht alle Gesetze bzw. gab vor, die entsprechenden Fragen nicht zu verstehen (MI-act. 56). Hinzu kommt, dass der Gesuchsgegner eigenen Angaben zufolge bereits bisher ohne Aufenthaltstitel in Deutschland erwerbstätig war (MI-act. 29 ff.) und angab, unter anderem mit der Absicht in die Schweiz eingereist zu sein, hier möglicherweise eine neue Stelle zu finden (MI-act. 27, 56). Vor diesem Hintergrund ist nicht davon auszugehen, dass der Gesuchsgegner sich im Falle einer Haftentlassung freiwillig zurück in den Kosovo begeben, sondern vielmehr davon, dass er dieses Verhalten fortsetzen würde. Dass er sich anlässlich der Gewährung des rechtlichen Gehörs zur Rückreise bereit erklärt hat (MI-act. 56 f.) und auch bei der hierfür notwendigen Papierbeschaffung kooperiert (Protokoll S. 3, act. 33), vermag hieran nichts zu ändern: Seine Ausreisebereitschaft dürfte lediglich so zu verstehen sein, dass er eine Rückkehr nach dem Kosovo als kleineres Übel gegenüber der gegenwärtigen Inhaftierung betrachtet. Unter diesen Umständen steht fest, dass der Gesuchsgegner mit seinem bisherigen Verhalten klare Anzeichen für eine Untertauchensgefahr gesetzt hat, und es ist nicht davon auszugehen, dass er nach einer Entlassung aus der Ausschaffungshaft die Schweiz freiwillig in Richtung Kosovo verlassen würde. Damit ist der Haftgrund von Art. 76 Abs. 1 lit. b Ziff. 3 und 4 AIG erfüllt.</w:t>
      </w:r>
    </w:p>
    <w:p>
      <w:r>
        <w:rPr>
          <w:b/>
        </w:rPr>
        <w:t>E. 4</w:t>
      </w:r>
    </w:p>
    <w:p>
      <w:r>
        <w:t>Bezüglich der Haftbedingungen liegen keine Beanstandungen vor (Protokoll S. 3, act. 33).</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t>- 7 -</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 entgegen der Auffassung des Rechtsvertreters des Gesuchsgegners – nicht ersichtlich. Wie gesehen bietet der Gesuchsgegner mit seinem Verhalten keinerlei Gewähr für eine ordnungsgemässe Ausreise in sein Heimatland, weshalb die Anordnung einer Meldepflicht keinesfalls zielführend wäre – wäre es dem Gesuchsgegner doch möglich, sich den Behörden bis zum Rückführungszeitpunkt zur Verfügung zu halten und trotzdem unterzutauchen, sobald das Rückreisedatum bekannt ist.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Die Anordnung einer allfälligen Haftverlängerung ist</w:t>
      </w:r>
    </w:p>
    <w:p>
      <w:r>
        <w:t>- 8 -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