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WPR.2022.20 vom 16. März 2022</w:t>
      </w:r>
    </w:p>
    <w:p>
      <w:r>
        <w:t>AG Verwaltungsgericht, 2022-03-16, DE</w:t>
      </w:r>
    </w:p>
    <w:p>
      <w:r>
        <w:rPr>
          <w:b/>
        </w:rPr>
        <w:t xml:space="preserve">Quelle: </w:t>
      </w:r>
      <w:r>
        <w:t>https://mcp.opencaselaw.ch/entscheid/ag_verwaltungsgericht_WPR.2022.20</w:t>
      </w:r>
    </w:p>
    <w:p>
      <w:r>
        <w:t>FR: AG_VERWALTUNGSGERICHT WPR.2022.20 du 16 mars 2022</w:t>
      </w:r>
    </w:p>
    <w:p>
      <w:r>
        <w:t>IT: AG_VERWALTUNGSGERICHT WPR.2022.20 del 16 marzo 2022</w:t>
      </w:r>
    </w:p>
    <w:p>
      <w:pPr>
        <w:pStyle w:val="Heading2"/>
      </w:pPr>
      <w:r>
        <w:t>Erwägungen</w:t>
      </w:r>
    </w:p>
    <w:p>
      <w:r>
        <w:rPr>
          <w:b/>
        </w:rPr>
        <w:t>E. 2</w:t>
      </w:r>
    </w:p>
    <w:p>
      <w:r>
        <w:t>Die Haft begann am 15. März 2022, 14.00 Uhr. Sie wird in Anwendung von Art. 76 AIG für 12 Tage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MIKA hat den Gesuchsgegner mit Verfügung vom 15. März 2022 unter Anordnung der sofortigen Vollstreckbarkeit aus der Schweiz, dem Schengen-Raum sowie der Europäischen Union weggewiesen (MI- act. 73 ff.). Diese Verfügung wurde dem Gesuchsgegner gleichentags um 15.05 Uhr eröffnet (MI-act. 76), womit ein rechtsgenüglicher Weg- weisungsentscheid vorliegt.</w:t>
      </w:r>
    </w:p>
    <w:p>
      <w:r>
        <w:t>- 5 -</w:t>
      </w:r>
    </w:p>
    <w:p>
      <w:r>
        <w:rPr>
          <w:b/>
        </w:rPr>
        <w:t>E. 2.3</w:t>
      </w:r>
    </w:p>
    <w:p>
      <w:r>
        <w:t>Es sind keine Anzeichen vorhanden, die an der Ausschaffungsmöglichkeit in tatsächlicher oder rechtlicher Hinsicht Zweifel aufkommen lassen würden. Dies umso weniger, als für den Gesuchsgegner bereits ein Flug in sein Heimatland gebucht werden konnte (MI-act. 69 ff.) und die Zusicherung für ein Reisedokument vorliegt (MI-act. 56).</w:t>
      </w:r>
    </w:p>
    <w:p>
      <w:r>
        <w:rPr>
          <w:b/>
        </w:rPr>
        <w:t>E. 3</w:t>
      </w:r>
    </w:p>
    <w:p>
      <w:r>
        <w:t>Das MIKA ordnete am 15. März 2022 eine Ausschaffungshaft für 12 Tage an. Den Akten ist zu entnehmen, dass für den Gesuchsgegner auf den 22. März 2022 ein Rückflug nach Pristina gebucht wurde (MI-act. 69 ff.) und die Zusicherung für ein Reisedokument vorliegt (MI-act. 56). Unter diesen Umständen ist davon auszugehen, dass die Ausschaffung des Gesuchsgegners voraussichtlich innerhalb von acht Tagen nach der Haftanordnung erfolgen wird. Nachdem der Gesuchsgegner sein schriftliches Einverständnis erklärt hat, kann auf die Durchführung einer mündlichen Verhandlung verzichtet werden (Art. 80 Abs. 3 AIG). II. 1. Wurde ein erstinstanzlicher Weg- oder Ausweisungsentscheid eröffnet, kann die zuständige kantonale Behörde die betroffene Person zur Sicherstellung des Vollzugs in Haft nehmen (Art. 76 AIG). Zuständige kantonale Behörde im Sinne von Art. 76 Abs. 1 AIG ist gemäss § 13 Abs. 1 EGAR das MIKA. Im vorliegenden Fall wurde die Haftan- ordnung durch das MIKA und damit durch die zuständige Behörde erlassen (act. 1 ff.). 2.</w:t>
      </w:r>
    </w:p>
    <w:p>
      <w:r>
        <w:rPr>
          <w:b/>
        </w:rPr>
        <w:t>E. 3.1</w:t>
      </w:r>
    </w:p>
    <w:p>
      <w:r>
        <w:t>Das MIKA stützt seine Haftanordnung unter anderem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wies sich anlässlich der Kontrolle durch das BAZG mit gefälschten kroatischen Dokumenten aus (Führerausweis und Identitätskarte; MI-act. 36 ff.). Wer eine falsche Identität oder einen gefälschten Ausweis verwendet, bietet gemäss ständiger Praxis des</w:t>
      </w:r>
    </w:p>
    <w:p>
      <w:r>
        <w:t>- 6 - Verwaltungsgerichts wie auch des Bundesgerichts keine Gewähr für eine selbstständige Ausreise (vgl. Entscheid des Verwaltungsgerichts WPR.2016.49 vom 21. März 2016, Erw. 3.2 sowie BGE 122 II 49, Erw. 2a). Dementsprechend ist in diesen Fällen die Gefahr des Untertauchens regelmässig zu bejahen. Der Gesuchsgegner äusserte sich zwar anlässlich der Gewährung des rechtlichen Gehörs betreffend die Anordnung einer Ausschaffungshaft gegenüber dem MIKA dahingehend, dass er bereit sei, die Schweiz in Richtung Kosovo zu verlassen (MI-act. 80). Angesichts seines bisherigen Verhaltens, insbesondere angesichts der Verwendung gefälschter Ausweise, erscheint die geäusserte Bereitschaft zur freiwilligen Ausreise indes als blosse Schutzbehauptung, um die drohende Ausschaffungshaft abzuwenden und ist als unglaubhaft zu qualifizieren. Unter diesen Umständen steht fest, dass der Gesuchsgegner mit seinem bisherigen Verhalten klare Anzeichen für eine Untertauchensgefahr gesetzt hat, und es ist nicht davon auszugehen, dass er nach einer Entlassung aus der Ausschaffungshaft die Schweiz freiwillig in Richtung Kosovo verlassen würde. Damit ist auch der Haftgrund von Art. 76 Abs. 1 lit. b Ziff. 3 und 4 AIG erfüllt.</w:t>
      </w:r>
    </w:p>
    <w:p>
      <w:r>
        <w:rPr>
          <w:b/>
        </w:rPr>
        <w:t>E. 3.2</w:t>
      </w:r>
    </w:p>
    <w:p>
      <w:r>
        <w:t>Nachdem ein Haftgrund vorliegt, kann offenbleiben, ob auch der Haftgrund von Art. 76 Abs. 1 lit. b Ziff. 1 AIG i.V.m. Art. 75 Abs. 1 lit. c AIG erfüllt ist.</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Weiter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keinerlei Gewähr für eine ordnungsgemässe Ausreise in sein Heimatland, weshalb die Anordnung einer Eingrenzung in Kombination mit einer Meldepflicht nicht zielführend wäre. Bezüglich der familiären Verhältnisse ergeben sich keine Anhaltspunkte, welche gegen eine Haftanordnung sprechen würden. Der Gesuchsgegner macht auch nicht geltend, er sei nicht hafterstehungsfähig.</w:t>
      </w:r>
    </w:p>
    <w:p>
      <w:r>
        <w:t>- 7 - Insgesamt sind keinerlei Gründe ersichtlich, welche die angeordnete Haft als unverhältnismässig erscheinen liessen.</w:t>
      </w:r>
    </w:p>
    <w:p>
      <w:r>
        <w:rPr>
          <w:b/>
        </w:rPr>
        <w:t>E. 7</w:t>
      </w:r>
    </w:p>
    <w:p>
      <w:r>
        <w:t>Das MIKA ordnete die Ausschaffungshaft für 12 Tage an. Im vorliegenden Fall wurde aufgrund des Einverständnisses des Gesuchsgegners auf die Durchführung einer mündlichen Verhandlung verzichtet. Gemäss Art. 80 Abs. 3 AIG ist die mündliche Verhandlung spätestens zwölf Tage nach der Haftanordnung nachzuholen, wenn die betroffene Person nicht innert acht Tagen nach der Haftanordnung ausgeschafft werden kann. Die angeordnete Haft ist deshalb nicht zu beanstanden und bis zum 26. März 2022, 12.00 Uhr, zu bestätigen. III. Gemäss § 28 Abs. 1 EGAR ist das Verfahren betreffend Haftüberprüfung unentgeltlich. Demgemäss werden keine Kosten erhoben. IV. Nachdem der Gesuchsgegner Deutsch versteht, kann darauf verzichtet werden, das MIKA anzuweisen, dem Gesuchsgegner das vorliegende Urteil in einer für ihn verständlichen Weise zu eröffnen und dem Verwaltungsgericht eine Bestätigung der Urteilseröffnung zukommen zu lassen.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