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WPR.2017.128 vom 10. August 2017</w:t>
      </w:r>
    </w:p>
    <w:p>
      <w:r>
        <w:t>AG Verwaltungsgericht, 2017-08-10, DE</w:t>
      </w:r>
    </w:p>
    <w:p>
      <w:r>
        <w:rPr>
          <w:b/>
        </w:rPr>
        <w:t xml:space="preserve">Quelle: </w:t>
      </w:r>
      <w:r>
        <w:t>https://mcp.opencaselaw.ch/entscheid/ag_verwaltungsgericht_WPR.2017.128</w:t>
      </w:r>
    </w:p>
    <w:p>
      <w:r>
        <w:t>FR: AG_VERWALTUNGSGERICHT WPR.2017.128 du 10 août 2017</w:t>
      </w:r>
    </w:p>
    <w:p>
      <w:r>
        <w:t>IT: AG_VERWALTUNGSGERICHT WPR.2017.128 del 10 agosto 2017</w:t>
      </w:r>
    </w:p>
    <w:p>
      <w:pPr>
        <w:pStyle w:val="Heading2"/>
      </w:pPr>
      <w:r>
        <w:t>Regeste</w:t>
      </w:r>
    </w:p>
    <w:p>
      <w:r>
        <w:t>Ausschaffungshaft; Haftzweck; Verhältnismässigkeit - Die Anordnung einer Ausschaffungshaft zur Vornahme weiterer Identitätsabklärungen ist nicht notwendig und damit unzulässig, wenn sich die inhaftierte Person den Behörden in den vergangenen elf Jahren immer zur Verfügung gehalten hat. - Mit der Anordnung einer Ausschaffungshaft darf nicht primär bezweckt werden, den Druck auf die betroffene Person zu erhöhen und diese zu einer Verhaltensänderung zu bewegen, da dieser Haftzweck der Durchsetzungshaft vorbehalten ist.</w:t>
      </w:r>
    </w:p>
    <w:p>
      <w:pPr>
        <w:pStyle w:val="Heading2"/>
      </w:pPr>
      <w:r>
        <w:t>Volltext</w:t>
      </w:r>
    </w:p>
    <w:p>
      <w:r>
        <w:t>21 Ausschaffungshaft; Haftzweck; Verhältnismässigkeit Die Anordnung einer Ausschaffungshaft zur Vornahme weiterer Identitätsabklärungen ist nicht notwendig und damit unzulässig, wenn sich die inhaftierte Person den Behörden in den vergangenen elf Jahren immer zur Verfügung gehalten hat. Mit der Anordnung einer Ausschaffungshaft darf nicht primär be zweckt werden, den Druck auf die betroffene Person zu erhöhen und diese zu einer Verhaltensänderung zu bewegen, da dieser Haftzweck der Durchsetzungshaft vorbehalten ist. Aus dem Entscheid des Einzelrichters des Verwaltungsgerichts, 2. Kammer, vom 10.August 2017, i.S. Amt für Migration und Integration gegen A. (WPR.2017.128) Aus den Erwägungen 6.4.3. Mit Blick auf die Notwendigkeit der Inhaftierung führte der Vertreter des Gesuchsgegners anlässlich der heutigen Verhandlung aus, der Gesuchsgegner sei seit elf Jahren in der Schweiz und bisher für alle Befragungen immer in seiner Unterkunft anzutreffen gewe sen. Diese Darstellung wird seitens des Gesuchstellers zwar bestätigt, jedoch moniert, der Gesuchsgegner habe sich sonst in keiner Weise um die Feststellung seiner Identität gekümmert. Die angeordnete Haft solle dem Gesuchsgegner deutlich machen, dass es dem MIKA nun ernst sei, seine Identität festzustellen und die Wegweisung zu vollziehen. Die Haft solle unter anderem sicherstellen, dass der Ge suchsgegner anlässlich der Befragung kooperiere. Das MIKA sei überzeugt, dass eine Identifizierung und Ausschaffung möglich sei. Nachdem der Gesuchsgegner in den letzten Jahren mehrfach problemlos ausländischen Delegationen zwecks Befragung und Iden tifizierung zugeführt werden konnte und dazu mehrfach auch kurz fristige Festhaltungen verfügt wurden, ist nicht ersichtlich, weshalb dies bei der nächsten Befragung nicht möglich sein sollte. Eine In haftierung zwecks Zuführung zur Befragung durch eine ugandische</w:t>
      </w:r>
    </w:p>
    <w:p>
      <w:r>
        <w:t>Delegation und spätere Ausschaffung ist damit nicht notwendig, wo mit eine sechsmonatige Inhaftierung im Rahmen der Ausschaffungs haft unverhältnismässig wäre. Dies auch mit Blick auf die Verhältnis mässigkeit im engeren Sinne, da der Gesuchsgegner bereits einmal durch eine ugandische Delegation befragt und nicht anerkannt wor den ist. Bei dieser Sachlage wäre eine Inhaftierung zum einen nur dann verhältnismässig im engeren Sinne, wenn ein Befragungstermin feststünde und die konkrete Gefahr bestünde, dass sich der Gesuchs gegner einer Befragung entziehen wollte. Da sich der Gesuchsgegner jedoch bislang immer zur Verfügung gehalten hat, ist dies, wie be reits ausgeführt, aktuell nicht der Fall. Anders würde sich die Situa tion wohl dann präsentieren, wenn der Gesuchsgegner als ugan discher Staatsangehöriger identifiziert werden würde. Im Kern bezweckt das MIKA mit der angeordneten Haft offen sichtlich, den Druck auf den Gesuchsgegner zu erhöhen. Die Haft zielt damit auf eine Verhaltensänderung des Gesuchsgegners ab, wel che mittels Anordnungen einer Durchsetzungshaft zu erwirken wäre. Abgesehen davon, dass keine Durchsetzungshaft beantragt wurde, könnte eine solche nicht bewilligt werden, da diese mit Bezug auf die Ausschaffungshaft nur subsidiär angeordnet werden darf, d.h. nur dann, wenn keine Ausschaffungsperspektive mehr besteht. Eine sol che ist im vorliegenden Fall mit der Gesuchstellerin jedoch zu beja hen, womit die Anordnung einer Durchsetzungshaft nicht zur Diskussion steht. 22 Anordnung einer Disziplinarstrafe in migrationsrechtlicher Administra tivhaft; Verhältnismässigkeit Wird gegen einen Inhaftierten aufgrund eines begründeten Verdachts auf Drogenkonsum eine Urinprobe angeordnet und die Abgabe der Urin probe durch den Betroffenen verweigert, kann das Verhalten im Rahmen einer Disziplinarstrafe mit Entzug des Besuchsrechts und Telefonver kehrs sanktioniert werden. Ein zeitlich unbegrenzter Entzug ist nur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