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WKL.2021.17 vom 9. Juni 2022</w:t>
      </w:r>
    </w:p>
    <w:p>
      <w:r>
        <w:t>AG Verwaltungsgericht, 2022-06-09, DE</w:t>
      </w:r>
    </w:p>
    <w:p>
      <w:r>
        <w:rPr>
          <w:b/>
        </w:rPr>
        <w:t xml:space="preserve">Quelle: </w:t>
      </w:r>
      <w:r>
        <w:t>https://mcp.opencaselaw.ch/entscheid/ag_verwaltungsgericht_WKL.2021.17</w:t>
      </w:r>
    </w:p>
    <w:p>
      <w:r>
        <w:t>FR: AG_VERWALTUNGSGERICHT WKL.2021.17 du 9 juin 2022</w:t>
      </w:r>
    </w:p>
    <w:p>
      <w:r>
        <w:t>IT: AG_VERWALTUNGSGERICHT WKL.2021.17 del 9 giugno 2022</w:t>
      </w:r>
    </w:p>
    <w:p>
      <w:pPr>
        <w:pStyle w:val="Heading2"/>
      </w:pPr>
      <w:r>
        <w:t>Erwägungen</w:t>
      </w:r>
    </w:p>
    <w:p>
      <w:r>
        <w:rPr>
          <w:b/>
        </w:rPr>
        <w:t>E. 1</w:t>
      </w:r>
    </w:p>
    <w:p>
      <w:r>
        <w:t>Bis zur hier nicht erreichten Streitwertgrenze von Fr. 30'000.00 erhebt das Verwaltungsgericht gemäss § 38a Abs. 1 GAL keine Verfahrenskosten.</w:t>
      </w:r>
    </w:p>
    <w:p>
      <w:r>
        <w:rPr>
          <w:b/>
        </w:rPr>
        <w:t>E. 2.1</w:t>
      </w:r>
    </w:p>
    <w:p>
      <w:r>
        <w:t>Die Verlegung der Parteikosten richtet sich nach den Bestimmungen über das Beschwerdeverfahren gemäss VRPG (§ 38a Abs. 2 GAL). Somit sind die Parteikosten in der Regel nach Massgabe des Unterliegens und Obsie- gens auf die Parteien zu verlegen (§ 32 Abs. 2 VRPG). Vom Unterlieger- prinzip kann insbesondere abgewichen werden, wenn eine Klage zwar grundsätzlich, aber nicht in der Höhe der Forderung gutgeheissen wird und diese Höhe vom gerichtlichen Ermessen abhängig ist (vgl. Art. 107 Abs. 1 lit. a ZPO). Aufgrund ihres vollständigen Unterliegens hat die Klägerin der Beklagten die Parteikosten für die anwaltliche Vertretung vor Verwaltungsgericht zu ersetzen.</w:t>
      </w:r>
    </w:p>
    <w:p>
      <w:r>
        <w:rPr>
          <w:b/>
        </w:rPr>
        <w:t>E. 2.2</w:t>
      </w:r>
    </w:p>
    <w:p>
      <w:r>
        <w:t>Gemäss § 5 Abs. 1 des Einführungsgesetzes zum Bundesgesetz über die Freizügigkeit der Anwältinnen und Anwälte vom 2. November 2004 (EG BGFA; SAR 290.100) regelt der Grosse Rat durch Dekret die in Verfahren vor aargauischen Gerichts- und Verwaltungsbehörden festzulegende Ent- schädigung. In vermögensrechtlichen Verwaltungssachen bemisst sich die Entschädigung nach dem Streitwert und beträgt im Klageverfahren Fr. 1'800.00 bis Fr. 6'000.00, wenn der Streitwert – wie im vorliegenden Fall – weniger als Fr. 20'000.00 beträgt (§ 8a Abs. 1 lit. b Ziff. 1 des Dekrets über die Entschädigung der Anwälte vom 10. November 1987 [Anwaltstarif; SAR 291.150]). Innerhalb dieses Rahmens richtet sich die Entschädigung nach dem mutmasslichen Aufwand des Anwaltes sowie nach der Bedeu- tung und der Schwierigkeit des Falles (§ 8a Abs. 2 Anwaltstarif). In Streit- sachen, die einen ausserordentlichen Aufwand verursachen, kann der Rah- men gemäss § 8a Abs. 1 Anwaltstarif bei der Bemessung der Entschädi- gung um bis zu 50 % überschritten werden. Besteht zwischen dem Streit- wert und dem Interesse der Parteien am Prozess oder zwischen dem ge- mäss § 8a Abs. 1 Anwaltstarif anwendbaren Ansatz und der vom Anwalt tatsächlich geleisteten Arbeit ein offenbares Missverhältnis, kann der Rahmen bei der Bemessung der Entschädigung um bis zu 50 % unter- schritten werden (§ 8b Anwaltstarif). Die Entschädigung wird als Gesamt- betrag festgesetzt. Auslagen und Mehrwertsteuer sind darin enthalten (§ 8c Anwaltstarif).</w:t>
      </w:r>
    </w:p>
    <w:p>
      <w:r>
        <w:t>- 20 - Der mutmassliche Zeitaufwand des Anwaltes der Beklagten, der erst ab dem zweiten Schriftenwechsel in das vorliegende Verfahren involviert wur- de, war leicht unterdurchschnittlich. Die Komplexität der Materie ist vergli- chen mit anderen Personalrechtsfällen höchstens mittel. Dasselbe gilt für die Bedeutung des Falles für die Parteien mit Blick auf den relativ geringen Streitwert. Unter Berücksichtigung aller Faktoren erscheint eine Parteient- schädigung von Fr. 3'000.00 als angemessen.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