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WKL.2021.13 vom 15. März 2023</w:t>
      </w:r>
    </w:p>
    <w:p>
      <w:r>
        <w:t>AG Verwaltungsgericht, 2023-03-15, DE</w:t>
      </w:r>
    </w:p>
    <w:p>
      <w:r>
        <w:rPr>
          <w:b/>
        </w:rPr>
        <w:t xml:space="preserve">Quelle: </w:t>
      </w:r>
      <w:r>
        <w:t>https://mcp.opencaselaw.ch/entscheid/ag_verwaltungsgericht_WKL.2021.13</w:t>
      </w:r>
    </w:p>
    <w:p>
      <w:r>
        <w:t>FR: AG_VERWALTUNGSGERICHT WKL.2021.13 du 15 mars 2023</w:t>
      </w:r>
    </w:p>
    <w:p>
      <w:r>
        <w:t>IT: AG_VERWALTUNGSGERICHT WKL.2021.13 del 15 marzo 2023</w:t>
      </w:r>
    </w:p>
    <w:p>
      <w:pPr>
        <w:pStyle w:val="Heading2"/>
      </w:pPr>
      <w:r>
        <w:t>Erwägungen</w:t>
      </w:r>
    </w:p>
    <w:p>
      <w:r>
        <w:rPr>
          <w:b/>
        </w:rPr>
        <w:t>E. 3</w:t>
      </w:r>
    </w:p>
    <w:p>
      <w:r>
        <w:t>Am 7. Dezember 2021 erstattete der Beklagte Klageantwort und bean- tragte die vollumfängliche Abweisung der Klage unter Kosten- und Ent- schädigungsfolgen zulasten der Klägerin.</w:t>
      </w:r>
    </w:p>
    <w:p>
      <w:r>
        <w:rPr>
          <w:b/>
        </w:rPr>
        <w:t>E. 3.1</w:t>
      </w:r>
    </w:p>
    <w:p>
      <w:r>
        <w:t>Die Klägerin macht einen "dreijährigen Verzögerungsschaden" geltend und begründet diesen mit der "Verunmöglichung der Nutzungsmöglichkeit der Baurechtsfläche während drei Jahren (Dezember 2017 – Dezember 2020)" (Replik, Rz. II/4). Dabei nimmt sie einerseits auf den Baurechtszins von jährlich Fr. 28'210.00 Bezug, den sie der Ortsbürgergemeinde S. aufgrund der nicht vollzogenen Handänderung weiterhin habe entrichten müssen (Replik, Rz. III/5.2, 5.5 f.). Andererseits verweist sie auf eine "wirtschaftlich dreijährige nicht verwertbare Wartephase" bzw. eine "Vereitelung der Nutzungsmöglichkeit der Baurechtsfläche" (Replik, Rz. III/5.7 f.).</w:t>
      </w:r>
    </w:p>
    <w:p>
      <w:r>
        <w:t>- 11 -</w:t>
      </w:r>
    </w:p>
    <w:p>
      <w:r>
        <w:rPr>
          <w:b/>
        </w:rPr>
        <w:t>E. 3.2</w:t>
      </w:r>
    </w:p>
    <w:p>
      <w:r>
        <w:t>Schaden ist eine ungewollte Vermögensverminderung, d.h. eine Differenz zwischen dem aktuellen Vermögensstand des Geschädigten infolge des schädigenden Ereignisses und dem hypothetischen (gleichzeitigen) Ver- mögensstand bei Ausbleiben des Ereignisses (sog. Differenztheorie; vgl. MARTIN A. KESSLER, in: Basler Kommentar, Obligationenrecht I, 7. Auflage, 2020, Art. 41 N 3 mit Hinweisen). Schaden kann in einer direkten Abnahme des Vermögens des Geschädigten (damnum emergens) bestehen. Auch entgangener Gewinn zählt zum Schaden (lucrum cessans); die Schädigung besteht hier darin, dass ein Vermögen sich wegen eines schädigenden Er- eignisses nicht vermehrt hat (vgl. KESSLER, a.a.O., Art. 41 N 6; HEINZ REY/ISABELLE WILDHABER, Ausservertragliches Haftpflichtrecht, 5. Auflage, Zürich 2018, Rz. 403 ff.). Die Geltendmachung von entgangenem Gewinn setzt voraus, dass es sich um einen üblicherweise erzielbaren Gewinn han- delt oder dieser aufgrund der konkreten Umstände in Aussicht gestanden hat (REY/WILDHABER, a.a.O., Rz. 406; BGE 82 II 397 Erw. 6). Soweit die Klägerin einen Vermögensschaden in Höhe der entrichteten Baurechtszinsen geltend macht, wäre dieser ohne Weiteres zu beziffern gewesen. In Bezug auf einen entgangenen Gewinn wäre der Schaden kon- kret zu berechnen und darzulegen gewesen, welcher Nettogewinn aus den fraglichen Geschäften erzielt worden wäre (KESSLER, a.a.O., Art. 42 N 2, 3; Urteil des Bundesgerichts 4C.225/2006 vom 20. September 2006 Erw. 2.4). Soweit entgangener Gewinn geltend gemacht wird, müsste (im Falle eines Eintretens) die Klage mangels Nachweis eines Schadens ab- gewiesen werden. 4.</w:t>
      </w:r>
    </w:p>
    <w:p>
      <w:r>
        <w:rPr>
          <w:b/>
        </w:rPr>
        <w:t>E. 4</w:t>
      </w:r>
    </w:p>
    <w:p>
      <w:r>
        <w:t>Im Übrigen Festhalten an den Klagebegehren.</w:t>
      </w:r>
    </w:p>
    <w:p>
      <w:r>
        <w:rPr>
          <w:b/>
        </w:rPr>
        <w:t>E. 4.1</w:t>
      </w:r>
    </w:p>
    <w:p>
      <w:r>
        <w:t>Der Grundbuchbeamte verhält sich rechtswidrig, wenn seine Handlung im Widerspruch zu einer Vorschrift steht, die sich auf die Grundbuchführung bezieht (SCHMID/ARNET, a.a.O., Art. 955 N 12). Als Vorschrift kommen dabei reglementarische, bundesrechtliche oder kantonale Bestimmungen betreffend die Grundbuchführung in Frage (BGE 110 II 37 Erw. 4; ARON PFAMMATTER, in: JOLANTA KREN KOSTKIEWICZ/STEPHAN WOLF/MARC AMSTUTZ/ROLAND FANKHAUSER [Hrsg.], ZGB Kommentar, 4. Auflage, 2021, Art. 955 N 2). Keine Widerrechtlichkeit ist gegeben, wenn das Grundbuch- amt eine Anmeldung abweist. Die Betroffenen haben diesfalls die Möglich- keit, ihr Recht auf dem Beschwerdeweg durchzusetzen (SCHMID/ARNET, a.a.O., Art. 955 N 16 mit Hinweis). Weiter ist es nicht ausreichend, dass sich die schädigende Handlung im Nachhinein als gesetzwidrig erweist. Haftungsbegründend ist vielmehr, wenn der Grundbuchbeamte eine doch einigermassen klare Gesetzesbestimmung falsch auslegt oder einen Rechtsgrundsatz nicht anwendet, der durch ständige Rechtsprechung oder durch unbestrittene Lehre verankert ist (HENRI DESCHENAUX, in: ARTHUR</w:t>
      </w:r>
    </w:p>
    <w:p>
      <w:r>
        <w:t>- 12 - MEIER-HAYOZ [Hrsg.], Schweizerisches Privatrecht, fünfter Band, Sachen- recht, Dritter Teilband, Das Grundbuch, erste Abteilung, Basel 1988, S. 223 ff., 226). Bei streitigen Rechtsfragen handelt eine Behörde mithin nur rechtswidrig, wenn sie einen unverzeihlichen oder besonders schwer- wiegenden Irrtum begeht (DESCHENAUX, a.a.O., S. 226, FN 56 mit Verweis auf ANDRÉ GRISEL, Traité de droit administratif, Bd. II, 2. Auflage, Neuen- burg 1984, S. 798).</w:t>
      </w:r>
    </w:p>
    <w:p>
      <w:r>
        <w:rPr>
          <w:b/>
        </w:rPr>
        <w:t>E. 4.2</w:t>
      </w:r>
    </w:p>
    <w:p>
      <w:r>
        <w:t>Das Grundbuchamt Q. begründete die Abweisung der Grundbuchan- meldung primär damit, dass selbständige und dauernde Baurechte nicht geteilt werden könnten. Dabei verwies es auf ADRIAN MÜHLEMATTER, Tei- lung und Vereinigung von Grundstücken, in: Der Bernische Notar [BN] 2017, S. 36 f., sowie auf CHRISTIAN BRÜCKNER/MATHIAS KUSTER, Die Grundstücksgeschäfte, Zürich/Basel/Genf 2016, Rz. 516. Zusätzlich hielt das Grundbuchamt "nach summarischer Prüfung" fest, der Inhalt als objek- tiv wesentlicher Punkt des Baurechts werde in der Urkunde nicht umschrie- ben (Ziff. 1), die vorgenommene Bereinigung der Dienstbarkeiten und der Vormerkungen (Übertragung auf das neue Baurecht) sei nicht zulässig (Ziff. 2) und das neue Baurecht solle bis 16. Mai 2038 gelten, weshalb es nicht dauernd sei (weniger als 30 Jahre); die beantragte Blattanlage und Pfanderrichtung seien folglich nicht möglich (Ziff. 3).</w:t>
      </w:r>
    </w:p>
    <w:p>
      <w:r>
        <w:rPr>
          <w:b/>
        </w:rPr>
        <w:t>E. 4.3</w:t>
      </w:r>
    </w:p>
    <w:p>
      <w:r>
        <w:t>Wie gesehen (vorne Erw. 4.1), ist keine Widerrechtlichkeit gegeben, wenn das Grundbuchamt eine Anmeldung abweist. Insofern fällt im vorliegenden Fall eine Widerrechtlichkeit von vornherein ausser Betracht. Im Übrigen verkennt die Klägerin hinsichtlich der Haftungsvoraussetzung der Rechtswidrigkeit, dass zur Zulässigkeit der flächenmässigen Aufteilung eines selbständigen und dauernden Baurechts keine höchstrichterliche oder kantonale Rechtsprechung vorlag. Die in BGE 147 III 1 vom 19. Ok- tober 2020 geklärte Rechtsfrage war umstritten. Die kantonalen Beschwer- deinstanzen, die sich damit eingehend auseinandergesetzt hatten, gingen davon aus, dass das angemeldete Rechtsgeschäft nicht eintragungsfähig war; sie bestätigten jeweils die Abweisungsverfügung des Grundbuch- amts Q. vom 19. Dezember 2017 (vgl. Entscheid des DVI vom 31. Mai 2018 [DVIARP.18.7/44.02.01] sowie Entscheid des Verwaltungsgerichts WBE.2018.250 vom 27. März 2019). Das Bundesgericht lud das Bundes- amt für Justiz, welches die Oberaufsicht über das Grundbuchwesen ausübt (Art. 956 Abs. 2 ZGB und Art. 6 der Grundbuchverordnung vom 23. Sep- tember 2011 [GBV; SR 211.432.1]), zu einer Vernehmlassung ein und un- terbreitete der Geschäftsleitung der Grundbuchämter des Kantons Bern drei Fragen zur Beantwortung (Urteil des Bundesgerichts 5A_341/2019 vom 19. Oktober 2020, Sachverhalt, Bst. D). Die Klägerin selbst holte vor</w:t>
      </w:r>
    </w:p>
    <w:p>
      <w:r>
        <w:t>- 13 - der Grundbuchanmeldung im Hinblick auf die Eintragbarkeit des Rechtsge- schäfts ein Privatrechtsgutachten bei Prof. Dr. iur. D. ein. Es ist anzunehmen, dass der Grund für das Vorgehen des Bundesgerichts sowie dasjenige der Klägerin darin lag, dass zum massgeblichen Zeitpunkt keine einheitliche Praxis und/oder Rechtauffassung bestanden und die Doktrin sich mit der betreffenden Rechtsfrage lediglich kursorisch befasst hatte (BGE 147 III 1 Erw. 5.6). Somit hatte das Grundbuchamt Q. im Rahmen des streitbetroffenen Eintragungsverfahrens nicht eine eindeutige Ge- setzesbestimmung auszulegen und/oder einen Rechtsgrundsatz anzuwen- den, der durch ständige Rechtsprechung oder durch unbestrittene Lehre verankert war. Vielmehr hatte es eine umstrittene und knifflige Rechtsfrage zu beurteilen, welche es gleich wie die erwähnten Autoren, jedoch anders als später das Bundesgericht beantwortete (BGE 147 III 1 Erw. 4 ff.). Darin liegt keine unentschuldbare Fehlleistung oder kein schwerwiegender Irr- tum, die bzw. der einem pflichtbewussten Beamten nicht unterlaufen wäre. Auch aus diesem Grund liegt in der Abweisung des angemeldeten Rechts- geschäfts betreffend die "Aufteilung eines selbständigen und dauernden Baurechts und die Neuumschreibung des selbständigen und dauernden Baurechts mit Handänderungen und Dienstbarkeitsbegründungen (Muta- tionstabelle S. Nr. D)" keine pflichtwidrige Grundbuchführung, die einen Haftungsanspruch nach Art. 955 ZGB begründen könnte. Von der Klägerin geltend gemachte Verletzungen des Anspruchs auf recht- liches Gehörs wären (wenn überhaupt) im Rahmen des Beschwerdever- fahrens relevant gewesen; es ist indessen weder ersichtlich noch dargetan, inwiefern daraus der Klägerin ein vorliegend relevanter Schaden entstan- den sein könnte. Dies gilt insbesondere in Bezug auf die beanstandete Ver- letzung der Begründungspflicht, welche die Klägerin sogar als treuwidrig erachtet, wie auch für die monierte Verletzung der Aktenführungspflicht. 5. Somit sind die Haftungsvoraussetzungen mangels eines substantiiert gel- tend gemachten Schadens und mangels einer widerrechtlichen Grund- buchführung nicht erfüllt. Die Klage wäre folglich – falls darauf eingetreten werden dürfte – abzuweisen. 6. Zusammenfassend ist auf die Klage nicht einzutreten. III. Entsprechend dem Verfahrensausgang hat die Klägerin die verwaltungs- gerichtlichen Kosten zu tragen (§ 63 VRPG i.V.m. Art. 106 Abs. 1 ZPO). Eine Parteientschädigung ist mangels anwaltlicher Vertretung des Beklag- ten nicht geschuldet (vgl. § 63 VRPG i.V.m. Art. 95 und 106 Abs. 1 ZPO).</w:t>
      </w:r>
    </w:p>
    <w:p>
      <w:r>
        <w:t>- 14 - Die Gebühr des verwaltungsgerichtlichen Verfahrens wird unter Berück- sichtigung der Bedeutung der Streitigkeit und des Aufwands auf Fr. 6'000.00 festgelegt (vgl. § 3 Abs. 1 i.V.m. § 22 Abs. 1 lit. c des Dekrets über die Verfahrenskosten vom 24. November 1987 [Verfahrenskosten- dekret, VKD; SAR 221.150]). Die beträchtliche Bedeutung des Falles ergibt sich mitunter aus dem vergleichsweise hohen Streitwert. Für die Kanzlei- gebühr und die Auslagen wird auf §§ 25 ff. VKD verwiesen. Das Verwaltungsgericht erkennt:</w:t>
      </w:r>
    </w:p>
    <w:p>
      <w:r>
        <w:rPr>
          <w:b/>
        </w:rPr>
        <w:t>E. 5</w:t>
      </w:r>
    </w:p>
    <w:p>
      <w:r>
        <w:t>Der Beklagte duplizierte mit Eingabe vom 14. März 2022 und hielt an sei- nen Anträgen in der Klageantwort fest.</w:t>
      </w:r>
    </w:p>
    <w:p>
      <w:r>
        <w:rPr>
          <w:b/>
        </w:rPr>
        <w:t>E. 5.1</w:t>
      </w:r>
    </w:p>
    <w:p>
      <w:r>
        <w:t>Auszugehen ist somit von einer unbezifferten Forderungsklage mit einem Mindeststreitwert von Fr. 84'630.00. Die Klägerin verlangt die Ermittlung des Schadens ("Vereitelung der Nutzungsmöglichkeit der Baurechtsfläche während drei Jahren") durch einen gerichtlich bestellten Experten (Replik, Rz. III/5.1, 5.8).</w:t>
      </w:r>
    </w:p>
    <w:p>
      <w:r>
        <w:rPr>
          <w:b/>
        </w:rPr>
        <w:t>E. 5.2</w:t>
      </w:r>
    </w:p>
    <w:p>
      <w:r>
        <w:t>Grundsätzlich ist eine Forderungsklage auf Geld nach Art. 84 Abs. 2 ZPO zu beziffern. Von diesem Grundsatz weicht der Gesetzgeber in Art. 85 Abs. 1 ZPO ab, um jener klagenden Person entgegenzukommen, die nicht in der Lage ist, die Höhe ihres Anspruchs zu Prozessbeginn genau anzu- geben, oder der dies nicht zuzumuten ist (Urteil des Bundesgerichts 4A_581/2021 vom 3. Mai 2022, Erw. 3.3 mit Verweis auf die Rechtspre- chung vor Vereinheitlichung des Zivilprozessrechts). Art. 85 Abs. 1 ZPO regelt die unbezifferte Forderungsklage im engeren Sinne einerseits und die Stufenklage anderseits (BGE 140 III 409 Erw. 4.3 und 4.3.1). Bei der unbezifferten Forderungsklage im engeren Sinne wird die Bezifferung als Ergebnis des Beweisverfahrens nachträglich möglich und zumutbar. Sie wird vor diesem Hintergrund auch als "nachträglich zu beziffernde Forde- rungsklage aufgrund des Beweisergebnisses" bezeichnet (NICOLAS GUT, Die unbezifferte Forderungsklage nach der Schweizerischen Zivilprozess- ordnung, Diss. Basel 2014: in Basler Studien zur Rechtswissenschaft [BSR], Reihe A: Privatrecht, Bd. 116, Rz. 274). Demgegenüber ist eine Stu- fenklage dadurch charakterisiert, dass ein materiell-rechtlicher Hilfsan- spruch beispielsweise auf Rechnungslegung mit einer unbezifferten Forde- rungsklage verbunden wird (BGE 123 III 140 Erw. 2b). Vorliegend ergibt sich weder aus den Rechtsbegehren noch deren Begrün- dung, dass die Klägerin einen materiell-rechtlichen Hilfsanspruch auf Aus- kunftserteilung geltend machen bzw. eine Stufenklage erheben will. Viel- mehr erhebt die Klägerin eine unbezifferte Forderungsklage mit Angabe ei- nes Mindeststreitwerts und macht die definitive Bezifferung ihrer Forderung vom Ergebnis des beantragten Beweisverfahrens abhängig. Somit liegt eine unbezifferte Forderungsklage im engeren Sinne bzw. eine nachträg- lich zu beziffernde Forderungsklage vor.</w:t>
      </w:r>
    </w:p>
    <w:p>
      <w:r>
        <w:rPr>
          <w:b/>
        </w:rPr>
        <w:t>E. 5.3</w:t>
      </w:r>
    </w:p>
    <w:p>
      <w:r>
        <w:t>Die Bezifferung des Rechtsbegehrens gilt als unmöglich, wenn die kla- gende Partei die Höhe ihres Anspruchs nicht kennen kann, weil diese von Informationen bzw. Tatsachen abhängig ist, über die sie nicht verfügt und die nicht in ihrem Einflussbereich liegen (SOPHIE DORSCHNER, in: Basler</w:t>
      </w:r>
    </w:p>
    <w:p>
      <w:r>
        <w:t>- 8 - Kommentar, Schweizerische Zivilprozessordnung, a.a.O., Art. 85 N 19). Lassen sich vorprozessual die nötigen Kenntnisse zur Bezifferung der An- spruchshöhe erlangen, stellt sich zusätzlich die Frage, ob der hierfür erfor- derliche Aufwand zumutbar ist. Für die Annahme einer Unzumutbarkeit, die Forderung zu beziffern, ist es nicht ausreichend, wenn sich die Quantifizie- rung eines Schadens als schwierig erweist (vgl. BARBARA KLETT, Schaden- ersatzrente: Die Rahmenbedingungen aus dem Verfahrensrecht und aus dem Anwaltsrecht, in: HAVE, Personen-Schaden-Forum 2011, S. 76). Un- zumutbarkeit ist deshalb nur in Situationen anzunehmen, in welchen sich die klagende Partei in einer regelrechten Behauptungsnot befindet (YVES WALDMANN, Informationsbeschaffung durch Zivilprozess, Diss. Basel 2009, in: BSR Reihe A: Privatrecht, Bd. 96, S. 286 f.; für einen grosszügigeren Massstab: PAUL OBERHAMMER/PHILIPP WEBER: in PAUL OBERHAMMER/ TANJA DOMEJ/ULRICH HAAS [Hrsg.], Kurzkommentar Schweizerische Zivil- prozessordnung, 3. Auflage, 2021, Art. 85 N 4 ff.). Die klagende Partei, die sich auf eine Ausnahme von der Bezifferungspflicht beruft, muss bereits in der Klageschrift darlegen, weshalb ihr die Bezifferung nicht möglich oder nicht zumutbar ist (vgl. BGE 140 III 409 Erw. 4.3.2 und 4.4; Urteil des Bun- desgerichts 4A_581/2021 vom 3. Mai 2022 Erw. 3.4).</w:t>
      </w:r>
    </w:p>
    <w:p>
      <w:r>
        <w:rPr>
          <w:b/>
        </w:rPr>
        <w:t>E. 5.4</w:t>
      </w:r>
    </w:p>
    <w:p>
      <w:r>
        <w:t>Legt die klagende Partei die Voraussetzungen für die Erhebung einer unbezifferten Forderungsklage nicht dar, ist darauf nicht einzutreten, und zwar ohne vorgängige Ausübung der gerichtlichen Fragepflicht nach Art. 56 ZPO und ohne Ansetzung einer Nachfrist gemäss Art. 132 ZPO (BGE 140 III 409 Erw. 4.3.2; Urteile des Bundesgerichts 5A_871/2020 vom 15. Fe- bruar 2021 Erw. 3.3.1; 5A_368/2018/ 5A_394/2018 vom 25. April 2019 Erw. 4.3.4; 4A_618/2017 vom 11. Januar 2018 Erw. 4.3.1 und 4.4; 4A_235/2016 vom 7. März 2017 Erw. 2.4; 4A_375/2015 vom 26. Januar 2016 Erw. 7.2). Dies gilt gemäss der Rechtsprechung des Bundesgerichts jedenfalls für eine anwaltlich vertretene Partei (BGE 140 III 409 Erw. 4.3.2; Urteile des Bundesgerichts 4A_581/2021 vom 3. Mai 2022 Erw. 4; 4A_336/2014 vom 18. Dezember 2014 Erw. 7.6). Nach der bundesgerichtlichen Rechtsprechung fehlt es an der Möglichkeit oder Zumutbarkeit der Bezifferung nur, soweit ein Beweisverfahren für schon schlüssige Behauptungen unabdingbar ist; ist diese Voraussetzung nicht erfüllt, ist die Forderung nach dem Grundsatz von Art. 84 Abs. 2 ZPO zu beziffern (BGE 140 III 409 Erw. 4.3.2). Vorliegend ist erstellt, dass das Rechtsgeschäft zwischen der Klägerin, der Ortsbürgergemeinde S. und der C. AG betreffend "Aufteilung eines selbständigen und dauernden Baurechts/Neuumschreibung des selbständigen und dauernden Baurechts mit Handänderungen und Dienstbarkeitsbegründungen (Mutationstabelle S. Nr. D)" vorerst nicht im Grundbuch eingetragen wurde. Die Klägerin leitet daraus eine Schadenersatzforderung ab. Sie legt indessen in keiner Art und Weise dar und es ist im Übrigen auch nicht ersichtlich, dass es ihr aus</w:t>
      </w:r>
    </w:p>
    <w:p>
      <w:r>
        <w:t>- 9 - objektiven Gründen unmöglich oder unzumutbar gewesen wäre, die von ihr eingeklagte Schadensposition vor Prozessbeginn zu bestimmen. Die Klägerin zeigt nicht auf, dass ihr erst und nur das Beweisverfahren die notwendige Grundlage für die Berechnung ihrer Forderung liefern kann (vgl. PASCAL LEUMANN LIEBSTER, Die Stufenklage im schweizerischen Zivilprozessrecht, Diss. Basel, Basel 2005, S. 106, GUT, a.a.O., Rz. 115; DORSCHNER, a.a.O., Art. 85 N 19) und sie sämtliche Umstände für Eintritt und Höhe des Schadens soweit zumutbar behauptet hätte. Die unbezifferte Forderungsklage darf nicht dazu dienen, dass die Klägerin von der Substantiierung des behauptenden Schadens entbunden wird.</w:t>
      </w:r>
    </w:p>
    <w:p>
      <w:r>
        <w:rPr>
          <w:b/>
        </w:rPr>
        <w:t>E. 5.5</w:t>
      </w:r>
    </w:p>
    <w:p>
      <w:r>
        <w:t>Da die Klägerin keine Unmöglichkeit oder Unzumutbarkeit aufzeigt, ihre Forderung zu beziffern, ist auf die unbezifferte Forderungsklage nicht ein- zutreten. Ergänzend rechtfertigt sich der Hinweis, dass sich die anwaltlich vertretene Klägerin nach dem klaren Wortlaut ihrer Rechtsbegehren und deren Be- gründung bewusst des Instruments der unbezifferten Forderungsklage un- ter Angabe eines Mindeststreitwerts bediente und sich ausdrücklich vorbe- hielt, ihre Forderung nach Abschluss des Beweisverfahrens definitiv zu be- ziffern. Insofern liegt hier kein unklares, unvollständiges, widersprüchliches oder unbestimmt gebliebenes Rechtsbegehren vor. Somit besteht kein An- lass, die Klägerin zur Bezifferung ihrer Forderung aufzufordern, zumal dies zu einer einseitigen Bevorzugung der Klägerin führen würde, was dem Grundsatz der Gleichbehandlung der Parteien zuwiderlaufen würde (Urteil des Bundesgerichts 4A_375/2015 vom 26. Januar 2015, Erw. 7.1; DANIEL GLASL, in: ALEXANDER BRUNNER/DOMINIK GASSER/IVO SCHWANDER, Schweizerische Zivilprozessordnung, Art. 1-196, 2. Auflage 2016, Art. 56 N 19). 6. Bei diesem Ergebnis ist in antizipierter Beweiswürdigung auf die Abnahme weiterer Beweise zu verzichten (vgl. BGE 141 I 60 Erw. 3.3; 136 I 229 Erw. 5.3). Sie könnten am Ergebnis nichts mehr ändern. Somit sind keine weiteren Unterlagen beizuziehen, keine Befragungen vorzunehmen und keine Expertisen, Amtsberichte oder Auskünfte einzuholen. Eine Verhand- lung oder ein Augenschein ist ebenfalls nicht durchzuführen. Die Beweis- anträge der Klägerin sind somit abzuweisen. Um Durchführung einer öf- fentlichen Gerichtsverhandlung im Sinne von Art. 6 der Konvention zum Schutze der Menschenrechte und Grundfreiheiten vom 4. November 1950 (EMRK; SR 0.101) hat die Klägerin nicht ersucht. Die nachfolgenden Erwägungen erfolgen lediglich ergänzend, um aufzu- zeigen, dass die Klage, falls darauf eingetreten werden dürfte, in der Sache abzuweisen wäre.</w:t>
      </w:r>
    </w:p>
    <w:p>
      <w:r>
        <w:t>- 10 - II. 1. Die Klägerin beantragt im Hinblick auf eine materielle Beurteilung der Klage, dass eine Urkundsperson des Kantons Aargau als Richterin bzw. Richter eingesetzt wird (Replikbegehren 3). Weder das Verwaltungsrechtspflegesetz noch das Gerichtsorganisations- gesetz vom 6. Dezember 2011 (GOG; SAR 155.200) oder die Zivilprozess- ordnung sehen – abgesehen von den Bestimmungen über den Ausstand – eine Möglichkeit der Parteien vor, auf die Besetzung des Verwaltungsge- richts einzuwirken. Tatsächlich würde es auch der institutionellen Unabhän- gigkeit der Justiz widersprechen, wenn die Parteien gezielt auf die Auswahl der Richterinnen und Richter Einfluss nehmen könnten. Insoweit besteht kein Anspruch auf Berücksichtigung dieses Anliegens. Ergänzend ist da- rauf hinzuweisen, dass dem Verwaltungsgericht aktuell keine Notarin bzw. kein Notar angehört. Dem Antrag dürfte somit selbst bei einem Entscheid in der Sache nicht stattgegeben werden. 2. Die Kantone sind für allen Schaden verantwortlich, der aus der Führung des Grundbuches entsteht (Art. 955 Abs. 1 des Schweizerischen Zivilge- setzbuchs vom 10. Dezember 1907 [ZGB; SR 210]). Es handelt es sich um eine Kausalhaftung des Kantons, der unabhängig vom Verschulden der Mitarbeitenden des Grundbuchamts haftet. Die Haftung setzt die Grund- buchführung als schädigendes Ereignis voraus, ein rechtswidriges Verhal- ten der Grundbuchverwalterin bzw. des Grundbuchverwalters oder eines Mitarbeitenden, einen Schaden sowie einen Kausalzusammenhang zwi- schen der widerrechtlichen Handlung und dem erlittenen Schaden (vgl. JÜRG SCHMID/RUTH ARNET, in: Basler Kommentar, Zivilgesetzbuch II,</w:t>
      </w:r>
    </w:p>
    <w:p>
      <w:r>
        <w:rPr>
          <w:b/>
        </w:rPr>
        <w:t>E. 6</w:t>
      </w:r>
    </w:p>
    <w:p>
      <w:r>
        <w:t>Am 28. Dezember 2022 beantragte die Klägerin, es sei ein ordentliches Beweisverfahren über die in der Klage vom 13. August 2021 und in der</w:t>
      </w:r>
    </w:p>
    <w:p>
      <w:r>
        <w:t>- 4 - Replik vom 11. Februar 2022 angebotenen Beweismittel durchzuführen, ebenso habe eine öffentliche Parteiverhandlung stattzufinden.</w:t>
      </w:r>
    </w:p>
    <w:p>
      <w:r>
        <w:rPr>
          <w:b/>
        </w:rPr>
        <w:t>E. 7</w:t>
      </w:r>
    </w:p>
    <w:p>
      <w:r>
        <w:t>Auflage, 2023, Art. 955 N 1 ff.; BGE 110 II 37 Erw. 4).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