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WKL.2017.8 vom 3. Mai 2018</w:t>
      </w:r>
    </w:p>
    <w:p>
      <w:r>
        <w:t>AG Verwaltungsgericht, 2018-05-03, DE</w:t>
      </w:r>
    </w:p>
    <w:p>
      <w:r>
        <w:rPr>
          <w:b/>
        </w:rPr>
        <w:t xml:space="preserve">Quelle: </w:t>
      </w:r>
      <w:r>
        <w:t>https://mcp.opencaselaw.ch/entscheid/ag_verwaltungsgericht_WKL.2017.8</w:t>
      </w:r>
    </w:p>
    <w:p>
      <w:r>
        <w:t>FR: AG_VERWALTUNGSGERICHT WKL.2017.8 du 3 mai 2018</w:t>
      </w:r>
    </w:p>
    <w:p>
      <w:r>
        <w:t>IT: AG_VERWALTUNGSGERICHT WKL.2017.8 del 3 maggio 2018</w:t>
      </w:r>
    </w:p>
    <w:p>
      <w:pPr>
        <w:pStyle w:val="Heading2"/>
      </w:pPr>
      <w:r>
        <w:t>Regeste</w:t>
      </w:r>
    </w:p>
    <w:p>
      <w:r>
        <w:t>Weisungsrecht des Arbeitgebers; Kündigungsgrund Eine Weisung des Arbeitgebers, wonach der erkrankte Arbeitnehmer durch ein auf eigene Kosten zu veranlassendes Gutachten die vollständige Wiedererlangung seiner Arbeitsfähigkeit zu belegen hat, ist unzulässig (Erw. 3.6.2). Ein Weisungsbruch des Arbeitnehmers bildet in diesem Fall keinen sachlich zureichenden Grund für eine Kündigung des Anstellungsverhältnisses durch den Arbeitgeber (Erw. 3.6.3).</w:t>
      </w:r>
    </w:p>
    <w:p>
      <w:pPr>
        <w:pStyle w:val="Heading2"/>
      </w:pPr>
      <w:r>
        <w:t>Volltext</w:t>
      </w:r>
    </w:p>
    <w:p>
      <w:r>
        <w:t>mann auf eine Äusserung explizit verzichtet, sich mithin von vorn herein keinerlei neue Erkenntnisse hinsichtlich der entscheidrele vanten Sachlage ergeben. Dies würde jedoch voraussetzen, dass die betroffene Person vorgängig in die Lage versetzt wird, sich anläss lich der Anhörung fundiert und wirksam zu der drohenden Kündi gung zu äussern, um ihren Anspruch auf rechtliches Gehörs wirksam wahrnehmen zu können. Zumal dem Kläger dies, wie vorstehend ausgeführt, nicht möglich war, da er nicht frühzeitig über den Gegen stand des Gesprächs in Kenntnis gesetzt wurde, kann diese Frage im vorliegenden Fall indes offenbleiben. 29 Weisungsrecht des Arbeitgebers; Kündigungsgrund Eine Weisung des Arbeitgebers, wonach der erkrankte Arbeitnehmer durch ein auf eigene Kosten zu veranlassendes Gutachten die vollständige Wiedererlangung seiner Arbeitsfähigkeit zu belegen hat, ist unzulässig (Erw.3.6.2). Ein Weisungsbruch des Arbeitnehmers bildet in diesem Fall keinen sachlich zureichenden Grund für eine Kündigung des Anstellungs verhältnisses durch den Arbeitgeber (Erw.3.6.3). Aus dem Entscheid des Verwaltungsgerichts, 1. Kammer, vom 3.Mai 2018, in Sachen A. gegen Einwohnergemeinde B. (WKL.2017.8). Aus den Erwägungen II. 3.6.2 Das Weisungsrecht des Arbeitgebers bzw. die Befolgungspflicht des Arbeitnehmers ist begriffswesentlicher Inhalt des Arbeitsverhält nisses und ein Ausfluss des typischen Subordinationsverhältnisses zwischen den Parteien. Die Ausübung des Weisungsrechts konkreti siert die Arbeits und Treuepflicht des Arbeitnehmers und gibt dem Arbeitgeber die Möglichkeit, durch Weisungen auf die Ausführung</w:t>
      </w:r>
    </w:p>
    <w:p>
      <w:r>
        <w:t>der Arbeit Einfluss zu nehmen. Der Arbeitnehmer hat die Weisungen des Arbeitgebers nach Treu und Glauben zu befolgen, sofern die geforderte Handlung durch die Arbeits und Treuepflicht zumutbar und nicht schikanös ist. Anordnungen, die das Verhalten des Arbeit nehmers betreffen, müssen sich auf den unmittelbaren Zusammen hang mit der Arbeitsleistung beschränken (THOMAS GEISER/ROLAND MÜLLER, Arbeitsrecht in der Schweiz, 3.Auflage, Bern 2015, N329, 337). Grundsätzlich müssen rechts oder sittenwidrige Weisungen nicht befolgt werden (ULLIN STREIFF/ADRIAN VON KAENEL/ROGER RUDOLPH, Arbeitsvertrag, Praxiskommentar zu Art.319 362 OR, 7.Auflage, Zürich/Basel/Genf 2012, Art.321d N3). Das Weisungs recht findet seine Grenzen dort, wo die Rechtmässigkeit der angeord neten Massnahmen überschritten wird (BGE 132 III 115, Erw.5.2). Der Arbeitnehmer darf und muss sich ihnen widersetzten (JÜRG BRÜHWILER, Einzelarbeitsvertrag: Kommentar zu den Art.319 343 OR, 3. Auflage, Basel 2014, Art.321d N5). Zur Frage, wie es sich in Grenzfällen verhält, in denen die Rechtmässigkeit der Weisung unklar ist, werden dagegen unterschiedliche Auffassungen vertreten. Zum einen wird vorgebracht, der Arbeitnehmer sei zur Nicht befolgung von Weisungen lediglich dann berechtigt (und auch verpflichtet), wenn schwere und offenkundige, d.h. leicht erkennbare Fehler ihre Unverbindlichkeit bewirken (vgl. WALTER HINTER BERGER, Disziplinarfehler und Disziplinarmassnahmen im Recht des öffentlichen Dienstes, Diss. St.Gallen 1986, S.178). Letzteres betreffe insbesondere Weisungen, welche inhaltlich offensichtlich rechtswidrig sind oder in erkennbarer Weise gegen höherstehende Weisungen verstossen (Entscheid des Erziehungsrates St. Gallen, St.Gallische Gerichts und Verwaltungspraxis [GVP] 2011, Nr.100, Erw.6.a; Entscheid des Kantonsgerichts Baselland vom 29.Juni 2016 [810 15 238], Erw.9.1). Zum andern wird vertreten, auch in Grenzfällen, bei denen die Rechtmässigkeit unklar sei, könne die Befolgung der betreffenden Weisung nicht verlangt werden (vgl. MANFRED REHBINDER/JEAN FRITZ STÖCKLI, Berner Kommentar, Einleitung und Kommentar zu den Art.319 330b OR, Bern 2010, Art.321d N46; RENÉ HIRSIGER, Die Zielvereinbarung im Einzel</w:t>
      </w:r>
    </w:p>
    <w:p>
      <w:r>
        <w:t>arbeitsverhältnis – Gleichzeitig ein Beitrag zu erfolgs und leistungs abhängigen Vergütungssystemen und Bonuszahlungen im schwei zerischen Arbeitsrecht, Diss. St.Gallen 2011, S.123). Überschreite der Arbeitgeber seine Weisungsbefugnisse, unterstehe der Arbeitneh mer nicht der Befolgungspflicht. Die Nichtbefolgung könne daher durch den Arbeitgeber nicht sanktioniert werden (MICHÈLE SCHNIDER, Schutz des Arbeitnehmers vor psychischem Druck, Diss. Bern 2016, ASR823, 118f. mit weiteren Hinweisen). Auslagen, die die Ausführung der Arbeit ermöglichen, liegen im Interesse des Arbeitgebers und sind deshalb von ihm zu tragen (REHBINDER/STÖCKLI, a.a.O., Art.327a N12; Botschaft des Bundes rates an die Bundesversammlung zum Entwurf eines Bundesgesetzes über die Revision des Zehnten Titels und des Zehnten Titelsbis des Obligationenrechts [Der Arbeitsvertrag] vom 25.August 1967, BBl1967 II 341). Die Pflicht des Arbeitnehmers bei Arbeits unfähigkeit infolge Krankheit erschöpft sich in der Vorlage eines einfachen Arztzeugnisses (vgl. §28 Personalreglement [der Einwoh nergemeinde B.]). Erachtet der Arbeitgeber eine weitergehende Begutachtung, namentlich eine vertrauensärztliche Untersuchung, als erforderlich, hat er hierfür die Kosten zu übernehmen (vgl. Urteil des Bundesgerichts vom 13.April 2015 [8C_619/2014], Erw.3.2.1; STREIFF/VON KAENEL/RUDOLPH, a.a.O., Art.324a/b N12). Ver tragliche Abreden, wonach der Arbeitgeber die Kosten einer vertrauensärztlichen Untersuchung auf den Arbeitnehmer abwälzen kann, sind als nichtig zu qualifizieren (MANUEL STENGEL, Der Ver trauensarzt im privatrechtlichen Arbeitsverhältnis, Diss. St.Gallen 2014, S.246). 3.6.3 Spätestens aufgrund ihrer Präzisierung vom 14.Februar 2017 war klar, dass die Beklagte eine Bestätigung der behandelnden Psychiaterin, mithin ein einfaches Arztzeugnis, nicht genügen lassen wollte. Dass die Beibringung "zu eigenen Lasten", mithin auf Kosten des Klägers gefordert war, geht aus dem Gemeinderatsbeschluss vom 31.Januar 2017 hervor. Zur Beibringung eines weitergehenden Gut achtens auf seine eigenen Kosten war der Kläger jedoch nicht ver pflichtet. Ein solches Gutachten wäre von der Beklagten auf deren</w:t>
      </w:r>
    </w:p>
    <w:p>
      <w:r>
        <w:t>Kosten anzuordnen gewesen. Die Weisung, wonach der Kläger zu seinen Lasten ein fachärztliches Gutachten beizubringen habe, er weist sich damit als unzulässig. (...) Insgesamt kann in der Nichtbeachtung der unzulässigen Wei sung auch im Gesamtkontext des übrigen Verhaltens des Klägers kein zureichender sachlicher Kündigungsgrund (…) erblickt wer den.(…) 30 Kündigung eines öffentlich rechtlichen Anstellungsverhältnisses Zulässigkeit einer Änderungskündigung im öffentlichen Personalrecht auch ohne explizite gesetzliche Grundlage Aus dem Entscheid des Verwaltungsgerichts, 1. Kammer, vom 29.Oktober 2018, in SachenA. gegen Einwohnergemeinde B. (WKL.2017.19). Aus den Erwägungen II. 2. Die Änderungskündigung ist eine Unterform der bedingten Kündigung oder zumindest mit dieser verwandt. Zwar ist die Kündi gung als einseitige Gestaltungserklärung grundsätzlich bedingungs feindlich. Gestattet sind aber Bedingungen, über deren Eintritt der Erklärungsempfänger allein entscheiden kann (Potestativbedingun gen), somit auch diejenige, dass das Arbeitsverhältnis im Fall der Ab lehnung einer Vertragsänderungsofferte gekündigt wird (ULLIN STREIFF/ADRIAN VAN KAENEL/ROGER RUDOLPH, Arbeitsvertrag, Praxiskommentar zu Art.319–362 OR, 7.Auflage, Zürich/Ba sel/Genf 2012, Art.335 N3; MARCO KAMBER, Die Änderungskün digung im Arbeitsvertragsrecht, Diss. Bern 2014, S.37). Eine Er scheinungsform der Änderungskündigung ist die aufschiebend be dingte Änderungskündigung im engeren Sinn, bei welcher die initia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