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WKL.2016.10 vom 30. August 2017</w:t>
      </w:r>
    </w:p>
    <w:p>
      <w:r>
        <w:t>AG Verwaltungsgericht, 2017-08-30, DE</w:t>
      </w:r>
    </w:p>
    <w:p>
      <w:r>
        <w:rPr>
          <w:b/>
        </w:rPr>
        <w:t xml:space="preserve">Quelle: </w:t>
      </w:r>
      <w:r>
        <w:t>https://mcp.opencaselaw.ch/entscheid/ag_verwaltungsgericht_WKL.2016.10</w:t>
      </w:r>
    </w:p>
    <w:p>
      <w:r>
        <w:t>FR: AG_VERWALTUNGSGERICHT WKL.2016.10 du 30 août 2017</w:t>
      </w:r>
    </w:p>
    <w:p>
      <w:r>
        <w:t>IT: AG_VERWALTUNGSGERICHT WKL.2016.10 del 30 agosto 2017</w:t>
      </w:r>
    </w:p>
    <w:p>
      <w:pPr>
        <w:pStyle w:val="Heading2"/>
      </w:pPr>
      <w:r>
        <w:t>Regeste</w:t>
      </w:r>
    </w:p>
    <w:p>
      <w:r>
        <w:t>Abgrenzung zwischen privatrechtlichen und öffentlich-rechtlichen Rechtsverhältnissen; Durchsetzung des Zeugnisanspruchs; fristlose Kündigung (§ 11 PersG und Art. 337 OR) - Das Anstellungsverhältnis zwischen einem Gemeindeverband und einem von einer anderen Trägerorganisation übernommenen Arbeitnehmer ist öffentlich-rechtlicher Natur, wenn die Satzungen des Gemeindeverbands nicht explizit regeln, dass er mit seinen Angestellten privatrechtliche Arbeitsverhältnisse abschliessen darf (Erw. I/1). - Aus prozessökonomischen Gründen können der Anspruch auf Ausstellung eines Arbeitszeugnisses und derjenige auf ein Zeugnis mit einem bestimmten Inhalt in einem einzigen Prozess geltend gemacht werden. Der Arbeitnehmer braucht nicht zuerst die Ausstellung eines Zeugnisses einzuklagen, um hernach in einem zweiten Prozess die Berichtigung des vom Arbeitgeber mittlerweile vorgelegten Zeugnisses verlangen zu können (Erw. I/8). - Für die fristlose Kündigung eines bereits ordentlich gekündigten Arbeitsverhältnisses gelten erhöhte Anforderungen an das Vorliegen eines wichtigen Grundes. Das gilt speziell dann, wenn der Arbeitnehmer freigestellt ist und zwischen den Parteien kaum mehr Berührungspunkte bestehen. Nur ein krass illoyales Verhalten des freigestellten Arbeitnehmers bildet einen wichtigen Grund für dessen fristlose Entlassung (Erw. II/2.2.2).</w:t>
      </w:r>
    </w:p>
    <w:p>
      <w:pPr>
        <w:pStyle w:val="Heading2"/>
      </w:pPr>
      <w:r>
        <w:t>Erwägungen</w:t>
      </w:r>
    </w:p>
    <w:p>
      <w:r>
        <w:rPr>
          <w:b/>
        </w:rPr>
        <w:t>E. 1</w:t>
      </w:r>
    </w:p>
    <w:p>
      <w:r>
        <w:t>Am 18.August 2014 verlieh die Universität Zürich (UZH) A. den Doktor der Rechtswissenschaft (Dr. iur.). Während des Doktorats war er unter anderem als wissenschaftlicher Assistent und Mitarbei ter am Rechtswissenschaftlichen Institut (RWI) in Zürich tätig. Zuvor hatte er am 19.November 2010 den Titel lic. phil. erworben und dieses Studium mit Hauptfach Soziologie, dem ersten Nebenfach Strafrecht II und Strafprozessrecht sowie dem zweiten Nebenfach Philosophie abgeschlossen. Die Lizentiatsarbeit hatte das Thema "Punitivität – Bedeutung, Messung und Ursache der öffentlichen Strafstrenge". Momentan absolviert er ein Rechtspraktikum bei einem im Anwaltsregister eingetragenen Rechtsanwalt. Aus den Erwägungen</w:t>
      </w:r>
    </w:p>
    <w:p>
      <w:r>
        <w:rPr>
          <w:b/>
        </w:rPr>
        <w:t>E. 3.1</w:t>
      </w:r>
    </w:p>
    <w:p>
      <w:r>
        <w:t>Der Beschwerdeführer bringt vor, beim Doktortitel der Rechts wissenschaften handle es sich um den höchsten akademischen Grad.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