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WBE.2025.91 vom 25. Juni 2025</w:t>
      </w:r>
    </w:p>
    <w:p>
      <w:r>
        <w:t>AG Verwaltungsgericht, 2025-06-25, DE</w:t>
      </w:r>
    </w:p>
    <w:p>
      <w:r>
        <w:rPr>
          <w:b/>
        </w:rPr>
        <w:t xml:space="preserve">Quelle: </w:t>
      </w:r>
      <w:r>
        <w:t>https://mcp.opencaselaw.ch/entscheid/ag_verwaltungsgericht_WBE.2025.91</w:t>
      </w:r>
    </w:p>
    <w:p>
      <w:r>
        <w:t>FR: AG_VERWALTUNGSGERICHT WBE.2025.91 du 25 juin 2025</w:t>
      </w:r>
    </w:p>
    <w:p>
      <w:r>
        <w:t>IT: AG_VERWALTUNGSGERICHT WBE.2025.91 del 25 giugno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Gebühren erhoben.</w:t>
      </w:r>
    </w:p>
    <w:p>
      <w:r>
        <w:rPr>
          <w:b/>
        </w:rPr>
        <w:t>E. 3</w:t>
      </w:r>
    </w:p>
    <w:p>
      <w:r>
        <w:t>Zusammenfassend ist festzuhalten, dass weder die Voraussetzungen für einen sogenannten nachehelichen Härtefall im Sinne von Art. 50 Abs. 1 lit. b AIG noch für einen schwerwiegenden persönlichen Härtefall im Sinne von Art. 30 Abs. 1 lit. b AIG erfüllt sind, weshalb die Beschwerde abzuwei- sen ist. III. Im Beschwerdeverfahren werden die Verfahrenskosten nach Massgabe des Unterliegens und Obsiegens auf die Parteien verlegt (§ 31 Abs. 2 VRPG). Nachdem der Beschwerdeführer unterliegt, gehen die Kosten des verwaltungsgerichtlichen Verfahrens zu seinen Lasten. Ein Parteikostener- satz fällt ausser Betracht (§ 32 Abs. 2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