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WBE.2025.387 vom 28. November 2025</w:t>
      </w:r>
    </w:p>
    <w:p>
      <w:r>
        <w:t>AG Verwaltungsgericht, 2025-11-28, DE</w:t>
      </w:r>
    </w:p>
    <w:p>
      <w:r>
        <w:rPr>
          <w:b/>
        </w:rPr>
        <w:t xml:space="preserve">Quelle: </w:t>
      </w:r>
      <w:r>
        <w:t>https://mcp.opencaselaw.ch/entscheid/ag_verwaltungsgericht_WBE.2025.387</w:t>
      </w:r>
    </w:p>
    <w:p>
      <w:r>
        <w:t>FR: AG_VERWALTUNGSGERICHT WBE.2025.387 du 28 novembre 2025</w:t>
      </w:r>
    </w:p>
    <w:p>
      <w:r>
        <w:t>IT: AG_VERWALTUNGSGERICHT WBE.2025.387 del 28 novembre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Das Verwaltungsgericht entschied am 11. Dezember 2024: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