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WBE.2025.300 vom 11. September 2025</w:t>
      </w:r>
    </w:p>
    <w:p>
      <w:r>
        <w:t>AG Verwaltungsgericht, 2025-09-11, DE</w:t>
      </w:r>
    </w:p>
    <w:p>
      <w:r>
        <w:rPr>
          <w:b/>
        </w:rPr>
        <w:t xml:space="preserve">Quelle: </w:t>
      </w:r>
      <w:r>
        <w:t>https://mcp.opencaselaw.ch/entscheid/ag_verwaltungsgericht_WBE.2025.300</w:t>
      </w:r>
    </w:p>
    <w:p>
      <w:r>
        <w:t>FR: AG_VERWALTUNGSGERICHT WBE.2025.300 du 11 septembre 2025</w:t>
      </w:r>
    </w:p>
    <w:p>
      <w:r>
        <w:t>IT: AG_VERWALTUNGSGERICHT WBE.2025.300 del 11 settembre 2025</w:t>
      </w:r>
    </w:p>
    <w:p>
      <w:pPr>
        <w:pStyle w:val="Heading2"/>
      </w:pPr>
      <w:r>
        <w:t>Erwägungen</w:t>
      </w:r>
    </w:p>
    <w:p>
      <w:r>
        <w:rPr>
          <w:b/>
        </w:rPr>
        <w:t>E. 2</w:t>
      </w:r>
    </w:p>
    <w:p>
      <w:r>
        <w:t>Es werden keine Gebühren erhoben.</w:t>
      </w:r>
    </w:p>
    <w:p>
      <w:r>
        <w:rPr>
          <w:b/>
        </w:rPr>
        <w:t>E. 3</w:t>
      </w:r>
    </w:p>
    <w:p>
      <w:r>
        <w:t>Eventuell sei das Verfahren zu sistieren</w:t>
      </w:r>
    </w:p>
    <w:p>
      <w:r>
        <w:rPr>
          <w:b/>
        </w:rPr>
        <w:t>E. 4</w:t>
      </w:r>
    </w:p>
    <w:p>
      <w:r>
        <w:t>Subeventuell sei dem Beschwerdeführer eine Ausreisefrist von drei Mo- nate nach Rechtskraft des Entscheids zu gewähren. Die Begründung ergibt sich, soweit erforderlich, aus den nachstehenden Erwägungen. Nach Eingang des einverlangten Kostenvorschusses hat das Verwaltungs- gericht den Fall ohne Einholung der Vorakten und ohne weiteren Schriften- wechsel (vgl. § 45 Abs. 1 VRPG)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mit seiner Beschwerde, seine Aufent- haltsbewilligung sei zu verlängern. Das Verwaltungsgericht kann jedoch keine Aufenthaltsbewilligungen erteilen oder verlängern. Dieser Antrag ist daher so zu verstehen, dass das MIKA gegebenenfalls anzuweisen sei, die abgelaufene Aufenthaltsbewilligung des Beschwerdeführers zu verlängern. Nachdem sich die Beschwerde gegen den Einspracheentscheid der Vor- instanz vom 17. Juli 2025 richtet, ist die Zuständigkeit des Verwaltungs- gerichts gegeben und auf die frist- und formgerecht eingereichte Be- schwerde ist, unter Beachtung der vorstehenden Präzisierung, einzutreten.</w:t>
      </w:r>
    </w:p>
    <w:p>
      <w:r>
        <w:t>- 4 - 2.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SCHINDLER/KNEER, a.a.O., N. 8 zu Art. 96 AIG). Schliesslich ist im Rahmen einer Gesamtbetrachtung zu entscheiden, ob die getroffene Massnahme durch ein überwiegendes öffentliches Inte- resse gerechtfertigt erscheint (sog. Verhältnismässigkeit im engeren Sinn). II. 1. 1.1. Die Vorinstanz hat im angefochtenen Einspracheentscheid zutreffend dar- gelegt, dass die Ehegemeinschaft zwischen dem Beschwerdeführer und seiner Ehefrau als definitiv aufgelöst zu betrachten ist, da der Beschwerde- führer explizit ausführe, er wolle sich scheiden lassen (act. 11 f.). Ein Beru- fen des Beschwerdeführers auf Art. 42 AIG kommt deshalb nicht mehr in Frage (Einspracheentscheid [EE], Erw. II/3.2). 1.2. Korrekterweise stellt die Vorinstanz für die Prüfung, ob dem Beschwerde- führer der weitere Aufenthalt in der Schweiz zu gestatten ist, auf Art. 50 AIG, in der ab dem 1. Januar 2025 gültigen Fassung, ab und führt in einem ersten Schritt zutreffend aus, dass die Ehe des Beschwerdeführers weit weniger als drei Jahre gedauert hat, womit die Voraussetzungen von Art. 50 Abs. 1 lit. a AIG nicht erfüllt sind (EE, Erw. II/4 und 5). 1.3. Zur Prüfung, ob wichtige persönliche Gründe gemäss Art. 50 Abs. 1 lit. b AIG vorliegen, welche den weiteren Aufenthalt des Beschwerdeführers in der Schweiz erforderlich machen, kommt die Vorinstanz nach korrekter Darlegung der Theorie zutreffend zum Schluss, dass der Beschwerdefüh-</w:t>
      </w:r>
    </w:p>
    <w:p>
      <w:r>
        <w:t>- 5 - rer nicht Opfer ehelicher Gewalt im Sinne von Art. 50 Abs. 1 lit. b i.V.m. Abs. 2 lit. a AIG geworden ist, keine Hinweise auf eine zwangsweise ge- schlossene Ehe vorliegen und auch sonst nicht ersichtlich wäre, inwiefern ein nachehelicher Härtefall vorliegen könnte (EE, Erw. II/6). Daran ändert auch der Umstand nichts, dass der Beschwerdeführer seit Ende März 2025 in einem neuen Arbeitsverhältnis tätig ist. Weder mit Blick auf die Integra- tion in der Schweiz noch mit Blick auf die Reintegration im Heimatland liegt ein nachehelicher Härtefall vor. 1.4. Zusammenfassend hat die Vorinstanz damit richtigerweise einen Anspruch gestützt auf Art. 50 Abs. 1 lit. b AIG und gleichzeitig das Vorliegen eines schwerwiegenden persönlichen Härtefalles im Sinne von Art. 30 Abs. 1 lit. b AIG verneint. 1.5. Nicht zu beanstanden und unbestritten geblieben sind die korrekten Erwä- gungen der Vorinstanz, dass kein Eingriff in das durch Art. 8 der Konven- tion zum Schutze der Menschenrechte und Grundfreiheiten vom 4. Novem- ber 1950 (EMRK; SR 0.101) geschützte Familien- und Privatleben vorliegt und keine Wegweisungshindernisse ersichtlich sind (EE, Erw. II/7 und 9). 2. Was der Beschwerdeführer in seiner äusserst kurzen, inhaltlich lediglich zweiseitigen Beschwerde dagegen vorbringt, vermag am zutreffenden Ent- scheid der Vorinstanz nichts zu ändern. Insbesondere ist festzuhalten, dass das Verfahren nicht zu sistieren ist, bis der Beschwerdeführer sich hat scheiden lassen, um sich anschliessend neu zu verheiraten. Was die Ausreisefrist betrifft, ist festzustellen, dass die vom MIKA auf 60 Tage festgesetzte Ausreisefrist ab Rechtskraft der Wegweisung bereits eine Verlängerung der Frist von sieben bis dreissig Tagen gemäss Art. 64d Abs. 1 AIG darstellt und im vorliegenden Fall keine Aspekte ersichtlich sind, die eine weitere Verlängerung rechtfertigen könnten. 3. Zusammenfassend ist festzuhalten, dass weder die Voraussetzungen für einen sogenannten nachehelichen Härtefall im Sinne von Art. 50 Abs. 1 lit. b AIG noch für einen schwerwiegenden persönlichen Härtefall im Sinne von Art. 30 Abs. 1 lit. b AIG erfüllt sind, weshalb die Beschwerde abzuwei- sen ist. III. Im Beschwerdeverfahren werden die Verfahrenskosten nach Massgabe des Unterliegens und Obsiegens auf die Parteien verlegt (§ 31 Abs. 2 VRPG). Nachdem der Beschwerdeführer unterliegt, gehen die Kosten des</w:t>
      </w:r>
    </w:p>
    <w:p>
      <w:r>
        <w:t>- 6 -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