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WBE.2025.263 vom 10. Dezember 2025</w:t>
      </w:r>
    </w:p>
    <w:p>
      <w:r>
        <w:t>AG Verwaltungsgericht, 2025-12-10, DE</w:t>
      </w:r>
    </w:p>
    <w:p>
      <w:r>
        <w:rPr>
          <w:b/>
        </w:rPr>
        <w:t xml:space="preserve">Quelle: </w:t>
      </w:r>
      <w:r>
        <w:t>https://mcp.opencaselaw.ch/entscheid/ag_verwaltungsgericht_WBE.2025.263</w:t>
      </w:r>
    </w:p>
    <w:p>
      <w:r>
        <w:t>FR: AG_VERWALTUNGSGERICHT WBE.2025.263 du 10 décembre 2025</w:t>
      </w:r>
    </w:p>
    <w:p>
      <w:r>
        <w:t>IT: AG_VERWALTUNGSGERICHT WBE.2025.263 del 10 dicembre 2025</w:t>
      </w:r>
    </w:p>
    <w:p>
      <w:pPr>
        <w:pStyle w:val="Heading2"/>
      </w:pPr>
      <w:r>
        <w:t>Erwägungen</w:t>
      </w:r>
    </w:p>
    <w:p>
      <w:r>
        <w:rPr>
          <w:b/>
        </w:rPr>
        <w:t>E. 3</w:t>
      </w:r>
    </w:p>
    <w:p>
      <w:r>
        <w:t>Bei der Nachkontrolle am 1. April 2025 stellte die Abteilung Bau und Pla- nung fest, dass der Rückbauaufforderung nicht nachgekommen worden war.</w:t>
      </w:r>
    </w:p>
    <w:p>
      <w:r>
        <w:rPr>
          <w:b/>
        </w:rPr>
        <w:t>E. 4</w:t>
      </w:r>
    </w:p>
    <w:p>
      <w:r>
        <w:t>Am 17. April 2025 informierte die Abteilung Bau und Planung den Rechts- vertreter der Bauherrschaft über die vorgesehene Anordnung der Ersatz- vornahme und gewährte die Möglichkeit der Stellungnahme zum Ver- fügungsentwurf. Mit Schreiben vom 19. Mai 2025 beantragte der Rechts- vertreter sinngemäss, auf die Anordnung sei zu verzichten.</w:t>
      </w:r>
    </w:p>
    <w:p>
      <w:r>
        <w:rPr>
          <w:b/>
        </w:rPr>
        <w:t>E. 5</w:t>
      </w:r>
    </w:p>
    <w:p>
      <w:r>
        <w:t>Anhaltspunkte für ein willkürliches und treuwidriges Verhalten des Gemein- derats bestehen entgegen den Ausführungen der Beschwerdeführer nicht. Den Beschwerdeführern ist seit Ende Januar 2024, also seit über einein- halb Jahren bekannt, dass sie den grenzabstandsverletzenden Teil des Garagenvordachs zurückbauen müssen. Der Gemeinderat setzte ihnen dreimal Frist an, um der Rückbauforderung nachzukommen. Die Be- schwerdeführer wussten somit, was von ihnen verlangt wird. Ihr Vor- bringen, ihnen sei seitens der Gemeinde empfohlen worden, mit dem Rück- bau zuzuwarten, wird in keiner Art und Weise belegt und es bestehen auch keine Indizien dafür. Eine Verletzung des Grundsatzes von Treu und Glauben (Art. 5 Abs. 3 BV; § 4 VRPG) liegt folglich nicht vor.</w:t>
      </w:r>
    </w:p>
    <w:p>
      <w:r>
        <w:t>- 9 -</w:t>
      </w:r>
    </w:p>
    <w:p>
      <w:r>
        <w:rPr>
          <w:b/>
        </w:rPr>
        <w:t>E. 6.1</w:t>
      </w:r>
    </w:p>
    <w:p>
      <w:r>
        <w:t>Die Beschwerdeführer rügen, die angeordnete Ersatzvornahme sei nicht erforderlich. Wie bereits ausgeführt (siehe vorne Erw. II/5), ist den Be- schwerdeführern seit Ende Januar 2024 bekannt, dass sie den grenz- abstandsverletzenden Teil des Garagenvordachs zurückbauen müssen. Der Gemeinderat setzte ihnen dreimal Frist an, um der Rückbauforderung nachzukommen. Die Beschwerdeführer wussten, was von ihnen verlangt wurde, unterliessen es jedoch, der Aufforderung nachzukommen. Ange- sichts dieser Chronologie entbehrt die Behauptung der Beschwerdeführer, bei "einer einfachen Information" hätte die Wiederherstellung des recht- mässigen Zustands "ohne Weiteres realisiert werden können" (Be- schwerde, S. 15), jeglicher Glaubwürdigkeit. Die Anordnung der Ersatzvor- nahme war erforderlich.</w:t>
      </w:r>
    </w:p>
    <w:p>
      <w:r>
        <w:rPr>
          <w:b/>
        </w:rPr>
        <w:t>E. 6.2.1</w:t>
      </w:r>
    </w:p>
    <w:p>
      <w:r>
        <w:t>Die Kostentragungspflicht aus der Ersatzvornahme ist ausschliesslich öffentlich-rechtlicher Natur, auch wenn die notwendigen Vollstreckungs- massnahmen durch einen Privaten durchgeführt worden sind (vgl. BAUMANN, in: Kommentar BauG, N. 65 zu § 159 BauG). Die Voll- streckungsbehörde kann bei der Ersatzvornahme vom Pflichtigen einen Kostenvorschuss in der Höhe der mutmasslichen Vollstreckungskosten er- heben (§ 82 Abs. 2 VRPG). Die Kosten müssen notwendig und verhältnis- mässig sein; die Kostenauflage darf keine pönalen Elemente enthalten (vgl. Art. 5 Abs. 2 BV; JAAG, in: Kommentar zum Verwaltungsrechtspflegegesetz des Kantons Zürich (VRG), 3. Aufl. 2014, N. 34 zu § 30 VRG). Nicht erfor- derlich in diesem Sinn sind übersetzte Unternehmensforderungen, welche von der Vollstreckungsbehörde pflichtwidrig anerkannt wurden.</w:t>
      </w:r>
    </w:p>
    <w:p>
      <w:r>
        <w:rPr>
          <w:b/>
        </w:rPr>
        <w:t>E. 6.2.2</w:t>
      </w:r>
    </w:p>
    <w:p>
      <w:r>
        <w:t>Im Beschwerdeverfahren vor Verwaltungsbehörden und Verwaltungsge- richt können die Parteien jederzeit nicht nur neue rechtliche Begründungen für ihren Standpunkt, sondern aufgrund der Untersuchungsmaxime (§ 17 Abs. 1 VRPG) auch jederzeit neue Tatsachen und Beweismittel (Noven) vorbringen (Entscheide des Verwaltungsgerichts WBE.2023.152 vom</w:t>
      </w:r>
    </w:p>
    <w:p>
      <w:r>
        <w:rPr>
          <w:b/>
        </w:rPr>
        <w:t>E. 6.2.3</w:t>
      </w:r>
    </w:p>
    <w:p>
      <w:r>
        <w:t>Die Offerte D._____ führt folgende Positionen auf, welche in der Offerte H._____ nicht enthalten sind: "Aushub auf Vordach erstellen inkl. Abfuhr und Gebühren" für Fr. 2'752.00; "Betonsockel ergänzen, Schalen, armieren u. betonieren" für Fr. 5'155.00; "Schnittflächen gegen Korrosion behandeln"</w:t>
      </w:r>
    </w:p>
    <w:p>
      <w:r>
        <w:t>- 10 - für Fr. 3'500.00; "Rasenfläche ergänzen, Humus liefern mit Kranwagen, Humus einbringen, planieren, Ansäen" für Fr. 1'821.00; "Geländer anpas- sen" für Fr. 5'150.00; "Eventuell wird ein Stromer benötigt, Aufwand- schätzung CHF 600.–" für Fr. 600.00. Diese Positionen ergeben ein Total von Fr. 18'978.00. Dass sie überflüssig wären, ist nicht ersichtlich und wird von den Beschwerdeführern auch nicht dargetan, geschweige denn belegt. Die Offerte H._____ erweist sich schon deshalb als unvollständig, weil sie keine entsprechenden Positionen enthält. Hinzu kommt, dass auch in der Position 1 der Offerte D._____ ("Vorarbeiten Garagenvordach rückbauen, Baustelle installieren, Bodenschutzmatten verlegen, Deckenschalung unter Vordach einbauen, Geländer demontieren, Absperren" für Fr. 4'626.00) Ar- beiten enthalten sind, welche in der Offerte H._____ ebenfalls fehlen. Auch diesbezüglich legen die Beschwerdeführer nicht dar, dass sie überflüssig wären. Insgesamt ergibt sich, dass auf die Offerte H._____ nicht abgestellt werden kann bzw. ein Vergleich zwischen den beiden Offerten nicht statt- haft ist. Insgesamt erweist sich die angeordnete Ersatzvornahme als verhältnis- mässig und zumutbar. Es liegen keine objektiven Anhaltspunkte vor, dass der Gemeinderat übersetzte Unternehmensforderungen auf die Beschwer- deführer überwälzte oder den Kosten ein pönaler Charakter innewohnt. Im Übrigen ist darauf hinzuweisen, dass zum einen in Kenntnis der Wider- rechtlichkeit gebaut wurde und dass zum anderen (auch) der Grenzabstand zum Nachbargrundstück verletzt ist, weshalb nicht nur öffentliche, sondern auch die privaten Interessen der Nachbarin für den Rückbau sprechen. 7. Zusammenfassend erweist sich die Beschwerde als gänzlich unbegründet und ist abzuweisen. III. 1. Im Beschwerdeverfahren werden die Verfahrenskosten in der Regel nach Massgabe des Unterliegens und Obsiegens auf die Parteien verlegt (§ 31 Abs. 2 VRPG). Entsprechend dem Verfahrensausgang haben die Be- schwerdeführer die verwaltungsgerichtlichen Kosten unter solidarischer Haftbarkeit zu tragen. Die Gerichtsgebühr wird unter Berücksichtigung der angefallenen Kosten und der Bedeutung der Sache auf Fr. 1’400.00 fest- gelegt (vgl. § 5 Abs. 1 und § 20 Abs. 1 lit. b des Gebührendekrets vom 19. September 2023 [GebührD; SAR 662.110]). 2. Im Beschwerdeverfahren werden die Parteikosten in der Regel nach Mass- gabe des Unterliegens oder Obsiegens auf die Parteien verlegt (§ 32 Abs. 2 VRPG). Mangels anwaltlicher Vertretung sind der obsiegenden Par- tei keine Parteikosten zu ersetzen (vgl. § 29 VRPG).</w:t>
      </w:r>
    </w:p>
    <w:p>
      <w:r>
        <w:t>- 11 - Das Verwaltungsgericht erkennt:</w:t>
      </w:r>
    </w:p>
    <w:p>
      <w:r>
        <w:rPr>
          <w:b/>
        </w:rPr>
        <w:t>E. 10</w:t>
      </w:r>
    </w:p>
    <w:p>
      <w:r>
        <w:t>Juli 2023, Erw. II/4.3; WBE.2021.194 vom 22. September 2021, Erw. II/6.3; MERKER, a.a.O., N. 45 zu § 39 [a]VRPG). Die mit der Replik eingereichte Offerte der H._____ GmbH ist folglich nicht verspätet und deshalb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