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WBE.2025.230 vom 3. Dezember 2025</w:t>
      </w:r>
    </w:p>
    <w:p>
      <w:r>
        <w:t>AG Verwaltungsgericht, 2025-12-03, DE</w:t>
      </w:r>
    </w:p>
    <w:p>
      <w:r>
        <w:rPr>
          <w:b/>
        </w:rPr>
        <w:t xml:space="preserve">Quelle: </w:t>
      </w:r>
      <w:r>
        <w:t>https://mcp.opencaselaw.ch/entscheid/ag_verwaltungsgericht_WBE.2025.230</w:t>
      </w:r>
    </w:p>
    <w:p>
      <w:r>
        <w:t>FR: AG_VERWALTUNGSGERICHT WBE.2025.230 du 3 décembre 2025</w:t>
      </w:r>
    </w:p>
    <w:p>
      <w:r>
        <w:t>IT: AG_VERWALTUNGSGERICHT WBE.2025.230 del 3 dicembre 2025</w:t>
      </w:r>
    </w:p>
    <w:p>
      <w:pPr>
        <w:pStyle w:val="Heading2"/>
      </w:pPr>
      <w:r>
        <w:t>Erwägungen</w:t>
      </w:r>
    </w:p>
    <w:p>
      <w:r>
        <w:rPr>
          <w:b/>
        </w:rPr>
        <w:t>E. 1</w:t>
      </w:r>
    </w:p>
    <w:p>
      <w:r>
        <w:t>Das Bezirksgericht Aarau sprach A._____ am 16. November 2023 im abgekürzten Verfahren der mehrfachen qualifizierten Widerhandlung gegen Art. 19 Abs. 1 lit. b und Abs. 2 lit. a und b (Gefährdung der Ge- sundheit vieler Menschen sowie Handeln als Mitglied einer Bande) des Bundesgesetzes über die Betäubungsmittel und die psychotropen Stoffe vom 3. Oktober 1951 (Betäubungsmittelgesetz, BetmG; SR 812.121) so- wie der Geldwäscherei nach Art. 305bis Ziff. 1 des Schweizerischen Straf- gesetzbuchs vom 21. Dezember 1937 (StGB; SR 311.0) schuldig und ver- urteilte ihn zu 5 Jahren Freiheitsstrafe. Ausserdem wurde A._____ nach Art. 66a Abs. 1 lit. o StGB für 10 Jahre des Landes verwiesen.</w:t>
      </w:r>
    </w:p>
    <w:p>
      <w:r>
        <w:rPr>
          <w:b/>
        </w:rPr>
        <w:t>E. 2</w:t>
      </w:r>
    </w:p>
    <w:p>
      <w:r>
        <w:t>Die bedingte Entlassung wird spätestens nach Ablauf eines Jahres erneut geprüft.</w:t>
      </w:r>
    </w:p>
    <w:p>
      <w:r>
        <w:rPr>
          <w:b/>
        </w:rPr>
        <w:t>E. 2.1</w:t>
      </w:r>
    </w:p>
    <w:p>
      <w:r>
        <w:t>Nach Ansicht des AJV bringt das Institut der bedingten Entlassung mit sich, dass sich die verurteilte Person in Freiheit bewegen (und beweisen) kann. Im konkreten Fall werde der Beschwerdeführer aber nach seiner Ausliefe- rung nach Österreich zum Zwecke der Strafverfolgung in einer anderen Strafanstalt aufgenommen. Die bedingte Entlassung führe somit nur zu einer vorzeitigen Verlegung in eine andere Strafanstalt, anstatt einer tat- sächlichen Entlassung in die Freiheit. Zudem sei das Ergreifen von Bewäh- rungsmassnahmen bei einer Auslieferung nicht möglich, da unklar sei, ob die Dauer der Inhaftierung die ausstehende Probezeit überschreiten würde. Somit könne das vorrangige Ziel der letzten Etappe des Strafvollzuges, der Resozialisierung in Freiheit, nicht erreicht werden, was dem Zweck der Wiedereingliederung des Verurteilten in die Gesellschaft widerspräche. Es sei unerheblich, ob A._____ in Österreich zu einer Freiheitsstrafe verurteilt werde oder nicht, da mit der Verlegung in eine ausländische Strafanstalt sowohl der Grundsatz der bedingten Entlassung als solchen wie auch die Vollzugsmodalitäten und die Möglichkeit der Rückversetzung ausgehöhlt würden.</w:t>
      </w:r>
    </w:p>
    <w:p>
      <w:r>
        <w:t>- 5 -</w:t>
      </w:r>
    </w:p>
    <w:p>
      <w:r>
        <w:rPr>
          <w:b/>
        </w:rPr>
        <w:t>E. 2.2</w:t>
      </w:r>
    </w:p>
    <w:p>
      <w:r>
        <w:t>Nach Ansicht des Beschwerdeführers verkennt die Vorinstanz, dass ihm im Ausland nicht der Vollzug einer Freiheitsstrafe drohe. Er solle lediglich im Hinblick auf ein laufendes Ermittlungsverfahren ins Ausland überstellt wer- den. Die von der Vorinstanz zitierte Rechtsprechung des Bundesgerichts sei auf diese Konstellation nicht anwendbar. Andernfalls würde die Un- schuldsvermutung verletzt, zumal der Ausgang des ausländischen Ermitt- lungsverfahrens ungewiss sei. Sodann würde auch der Rechtsprechung des Bundesgerichts der Anwendungsbereich entzogen, wonach der Voll- zug einer freiheitsentziehenden Sanktion mit der bedingten Entlassung ende und die Auslieferung grundsätzlich vollstreckbar werde. Ausserdem käme es zu einer Ungleichbehandlung mit Personen, die mit einer Landes- verweisung belegt seien, könnten diese doch bedingt entlassen werden. Zudem werde auch er selbst schlechter behandelt, als wenn er der Auslie- ferung nicht zugestimmt hätte. Schliesslich verletzte der angefochtene Ent- scheid auch den Grundsatz der Prozessökonomie, weil eine Verweigerung der bedingten Entlassung die österreichischen Strafverfolgungsbehörden blockiere und der Verbleib des Beschwerdeführers in der JVA Lenzburg hierzulande hohe Vollzugs- sowie mutmasslich weitere Prozesskosten ver- ursache. 3.</w:t>
      </w:r>
    </w:p>
    <w:p>
      <w:r>
        <w:rPr>
          <w:b/>
        </w:rPr>
        <w:t>E. 3</w:t>
      </w:r>
    </w:p>
    <w:p>
      <w:r>
        <w:t>Die Kosten des Verfahrens seien dem Staat aufzuerlegen.</w:t>
      </w:r>
    </w:p>
    <w:p>
      <w:r>
        <w:rPr>
          <w:b/>
        </w:rPr>
        <w:t>E. 3.1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StGB). Die bedingte Entlassung bezweckt keine nachträgliche Reduktion einer schuldangemessenen Strafe im Sinne einer teilweisen Begnadigung (vgl. (BGE 101 Ib 452, Erw. 1; CORNELIA KOLLER, in: Basler Kommentar, Straf- recht I [BSK Strafrecht I], 4. Aufl. 2019, N. 4 vor Art. 86 StGB). Sie ist viel- mehr ein Instrument der Spezialprävention und stellt die letzte Stufe des progressiven Strafvollzugs dar (vgl. CORNELIA KOLLER, BSK Strafrecht I, N. 4 vor Art. 86 StGB). Ihr Ziel besteht darin, das Wiedererlernen des Lebens in Freiheit zu fördern, indem die sich in Freiheit ergebenden Um- stände, mit denen jede befristet inhaftierte Person früher oder später kon- frontiert wird, für die Resozialisierung nutzbar gemacht werden. Dabei bietet die bedingte Entlassung in Verbindung mit Bewährungshilfe und Wei- sungen (vgl. Art. 87 Abs. 2 StGB) zusätzliche Möglichkeiten, um auf die verurteilte Person und die von ihr ausgehende Rückfallgefahr positiv Ein- fluss zu nehmen (Urteil des Bundesgerichts 6B_875/2021 vom 3. Oktober 2022, Erw. 1.4.3.1 m.w.H.). Damit die bedingte Entlassung ihren Zweck er- reichen kann, muss sich die bedingt entlassene Person in Freiheit bewegen</w:t>
      </w:r>
    </w:p>
    <w:p>
      <w:r>
        <w:t>- 6 - und beweisen können. Sie dient nicht der Verlegung eines Häftlings in eine andere Strafvollzugsanstalt und auch nicht dazu, ihn aus Kostengründen loszuwerden (Urteil des Bundesgerichts 6B_875/2021 vom 3. Oktober 2022, Erw. 1.4.3.2; Urteil des Bundesgerichts 6B_103/2019 vom 21. Fe- bruar 2019, Erw. 2.3). Das Bundesgericht hat in Fällen, in denen eine ausländische Freiheitsstrafe verbüsst werden muss, festgehalten, eine Überstellung in eine auslän- dische Strafanstalt könne die Entlassung nicht rechtfertigen. Sie würde sowohl dem Grundsatz der bedingten Entlassung als solchen wie auch die Vollzugsmodalitäten (Art. 86-89 StGB) und die Möglichkeit der Rückver- setzung aushöhlen. Zukunftsaussichten, die nicht auf den Umgang mit Situationen in der Freiheit ausgerichtet sind, könnten entsprechend für die Beurteilung der bedingten Entlassung nicht beachtet werden (Urteil des Bundesgerichts 6B_875/2021 vom 3. Oktober 2022, Erw. 1.4.3.2 m.w.H.). Sei ein ausländischer Strafvollzug absehbar (Urteil des Bundesge- richts 6B_875/2021 vom 3. Oktober 2022, Erw. 1.4.3.3) oder mit einer In- haftierung zu rechnen (Urteil des Bundesgerichts 7B_932/2024 vom 20. Januar 2025, Erw. 3.1.2), habe eine bedingte Entlassung zu unterblei- ben. Selbst für den Fall, in dem die Probezeit die zu verbüssende auslän- dische Strafe übersteige und somit eine gewisse Restzeit für Bewährungs- massnahmen verbleiben würde, rechtfertige sich die bedingte Entlassung zur Verlegung in eine andere Strafanstalt nicht (Urteil des Bundesge- richts 6B_875/2021 vom 3. Oktober 2022, Erw. 1.4.3.3).</w:t>
      </w:r>
    </w:p>
    <w:p>
      <w:r>
        <w:rPr>
          <w:b/>
        </w:rPr>
        <w:t>E. 3.2.1</w:t>
      </w:r>
    </w:p>
    <w:p>
      <w:r>
        <w:t>Anders als in den Fällen, die der bundesgerichtlichen Praxis zugrunde lie- gen, droht dem Beschwerdeführer im Ausland (jedenfalls vorläufig) kein Vollzug einer Freiheitsstrafe. Vielmehr soll er im Hinblick auf die Durchfüh- rung eines Untersuchungsverfahrens ins Ausland überstellt und dort in Un- tersuchungshaft gesetzt werden. Wie der Beschwerdeführer zu Recht vor- bringt, ist der Ausgang des ausländischen Strafverfahrens ungewiss. Ge- mäss dem Auslieferungshaftbefehl des Bundesamts für Justiz vom 21. No- vember 2024 (Vorakten, act. 12 01) werden dem Beschwerdeführer für die Zeit zwischen März und November 2020 Suchtgifthandel und dessen Vor- bereitung vorgeworfen, wobei er mehrmals Kokain, teilweise im zweistelli- gen Kilogrammbereich, nach Österreich ein- und ausgeführt haben soll.</w:t>
      </w:r>
    </w:p>
    <w:p>
      <w:r>
        <w:rPr>
          <w:b/>
        </w:rPr>
        <w:t>E. 3.2.2</w:t>
      </w:r>
    </w:p>
    <w:p>
      <w:r>
        <w:t>Während der ausländischen Untersuchungshaft wäre der Beschwerdefüh- rer nicht in der Lage, sich in Freiheit zu bewegen und zu beweisen. Ent- sprechend würde das mit einer bedingten Entlassung verfolgte Resoziali- sierungsziel verfehlt. Nachdem die bedingte Entlassung keinen Begnadi- gungsakt darstellt, ist sie auch in einer solchen Konstellation grundsätzlich zu verweigern.</w:t>
      </w:r>
    </w:p>
    <w:p>
      <w:r>
        <w:t>- 7 - Wie lange der Beschwerdeführer in Österreich in Untersuchungshaft ge- setzt wird, steht nicht fest und dürfte vom weiteren Verlauf der dortigen Un- tersuchung abhängen. Es handelt sich jedoch um einen schwerwiegenden neuen Tatvorwurf. Der Beschwerdeführer verfügt zudem (soweit ersicht- lich) über keinen engen Bezug zu Österreich. Er gab vielmehr an, in der Vergangenheit an vielen Orten gewohnt zu haben, in Serbien geboren wor- den zu sein und seit 1999 in Ungarn gewohnt zu haben. Nach der beding- ten Entlassung hätte er nach Ungarn zurückkehren, aber auch familiäre Kontakte in Serbien pflegen wollen (Vorakten, act. 05 014). Seine Wohn- situation ist somit als unstet zu bezeichnen. Angesichts der Schwere des Tatvorwurfs, des damit einhergehenden Fluchtanreizes und des schwa- chen Bezugs zu Österreich ist mit einer längerdauernden Untersuchungs- haft zu rechnen (vgl. zu den Haftgründen § 173 Abs. 2 StPO Österreich). Selbst wenn jedoch der Beschwerdeführer vor dem 15. Januar 2027 bzw. vor dem ordentlichen Ende der hier zu verbüssenden Freiheitsstrafe aus der ausländischen Untersuchungshaft entlassen und damit eine gewisse Restzeit für Bewährungsmassnahmen verbliebe, rechtfertigte sich keine bedingte Entlassung, hätte die Auslieferung doch auch in diesem Fall zur Folge, dass kaum mehr Gelegenheit für durchsetzbare Bewährungsmass- nahmen in Freiheit bestünde (vgl. Urteil des Bundesgerichts 6B_875/2021 vom 3. Oktober 2022, Erw. 1.4.3.3). Ausserdem würde der Nutzen von Be- währungsmassnahmen abnehmen, je näher die Entlassung aus der Un- tersuchungshaft an das ordentliche Strafende heranrückte.</w:t>
      </w:r>
    </w:p>
    <w:p>
      <w:r>
        <w:rPr>
          <w:b/>
        </w:rPr>
        <w:t>E. 3.2.3</w:t>
      </w:r>
    </w:p>
    <w:p>
      <w:r>
        <w:t>Die Vorinstanz hat eine bedingte Entlassung somit zu Recht verweigert. Daran vermögen auch die weiteren Einwendungen des Beschwerdeführers nichts zu ändern:</w:t>
      </w:r>
    </w:p>
    <w:p>
      <w:r>
        <w:rPr>
          <w:b/>
        </w:rPr>
        <w:t>E. 3.2.3.1</w:t>
      </w:r>
    </w:p>
    <w:p>
      <w:r>
        <w:t>Die Unschuldsvermutung wird nicht tangiert, knüpft doch die Verweigerung der bedingten Entlassung im konkreten Fall nicht an eine (mögliche) Schuld des Beschwerdeführers an, sondern an den Umstand, dass die bedingte Entlassung ihren Resozialisierungszweck aufgrund der ausländischen Un- tersuchungshaft nicht erfüllen könnte.</w:t>
      </w:r>
    </w:p>
    <w:p>
      <w:r>
        <w:rPr>
          <w:b/>
        </w:rPr>
        <w:t>E. 3.2.3.2</w:t>
      </w:r>
    </w:p>
    <w:p>
      <w:r>
        <w:t>Dass die Verweigerung der bedingten Entlassung zu einer Verzögerung des ausländischen Strafverfahrens führen kann, ist gesetzlich vorgesehen und folglich hinzunehmen. Nach Art. 49 Abs. 2 des Bundesgesetzes über internationale Rechtshilfe in Strafsachen vom 20. März 1981 (Rechtshilfe- gesetz, IRSG; SR 351.1) sind Auslieferungshaftbefehle nämlich nicht voll- streckbar, solange sich der Verfolgte in Untersuchungs- oder Strafhaft in der Schweiz befindet. Dass hierzulande mit einer bedingten Entlassung</w:t>
      </w:r>
    </w:p>
    <w:p>
      <w:r>
        <w:t>- 8 - Vollzugskosten gespart werden könnten, ist (wie erwähnt) irrelevant (vgl. vorne, Erw. 3.1).</w:t>
      </w:r>
    </w:p>
    <w:p>
      <w:r>
        <w:rPr>
          <w:b/>
        </w:rPr>
        <w:t>E. 3.2.3.3</w:t>
      </w:r>
    </w:p>
    <w:p>
      <w:r>
        <w:t>Die Verweigerung der bedingten Entlassung hält auch vor dem Gleichbe- handlungsgebot stand. Anders als eine Person, die im Anschluss an eine bedingte Entlassung im Ausland in Haft oder in den Strafvollzug versetzt wird, kann die bedingte Entlassung einer Person, die mit einer Landesver- weisung belegt ist, durchaus dem Ziel der Resozialisierung dienen. Eine mit Landesverweis bestrafte Person kann nach Verlassen der Schweiz das Leben in Freiheit wiedererlernen. Sie kann sich in ihrem Ursprungsland oder einem Land ihrer Wahl wieder in die Gesellschaft eingliedern. Das unter dem Aspekt der Rechtsgleichheit zu vergleichende Kriterium ist nicht die zwanghafte Ausreise an sich, sondern die Möglichkeit einer Resoziali- sierung der betroffenen Person im Rahmen der bedingten Entlassung. Ins Leere stösst auch der Hinweis des Beschwerdeführers, er werde schlechter behandelt, als wenn er der Auslieferung nicht zugestimmt hätte, ist doch das Rechtsgleichheitsgebot nicht auf zwei Sachverhalte anwend- bar, die ein- und denselben Rechtsträger betreffen (BERNHARD WALDMANN, in: Basler Kommentar, Bundesverfassung, 2. Aufl. 2025, N. 23 zu Art. 8 BV). Im Übrigen ist eine Auslieferung nicht von der Zustimmung des Be- schwerdeführers abhängig. Seine Zustimmung ermöglicht lediglich das Vorgehen im vereinfachten Verfahren (vgl. Art. 54 IRSG; DONATSCH UND ANDERE, Internationale Rechtshilfe, unter Einbezug der Amtshilfe im Steu- errecht, 3. Aufl. 2024, S. 158).</w:t>
      </w:r>
    </w:p>
    <w:p>
      <w:r>
        <w:rPr>
          <w:b/>
        </w:rPr>
        <w:t>E. 3.2.3.4</w:t>
      </w:r>
    </w:p>
    <w:p>
      <w:r>
        <w:t>Zwar hat das Bundesgericht im Urteil 6B_875/2021 vom 3. Oktober 2022, Erw. 1.4.2, erwogen, der Vollzug einer freiheitsentziehenden Sanktion ende mit der bedingten Entlassung und die Auslieferung werde grundsätz- lich vollstreckbar, im gleichen Entscheid betonte es jedoch, eine bedingte Entlassung in einen ausländischen Freiheitsentzug sei mit Sinn und Zweck des Instituts der bedingten Entlassung von Art. 86 ff. StGB nicht vereinbar (Erw. 1.4.3.2). Diese Praxis ist unter Wertungsgesichtspunkten auf die be- dingte Entlassung in eine (längerdauernde) ausländische Haft übertragbar (vgl. vorne, Erw. 3.2).</w:t>
      </w:r>
    </w:p>
    <w:p>
      <w:r>
        <w:rPr>
          <w:b/>
        </w:rPr>
        <w:t>E. 4</w:t>
      </w:r>
    </w:p>
    <w:p>
      <w:r>
        <w:t>Zusammenfassend erweist sich die Beschwerde als unbegründet, weil sich der Zweck einer bedingten Entlassung wegen der ausländischen Unter- suchungshaft nicht erfüllen liesse.</w:t>
      </w:r>
    </w:p>
    <w:p>
      <w:r>
        <w:t>- 9 -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