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WBE.2025.150 vom 18. Juni 2025</w:t>
      </w:r>
    </w:p>
    <w:p>
      <w:r>
        <w:t>AG Verwaltungsgericht, 2025-06-18, DE</w:t>
      </w:r>
    </w:p>
    <w:p>
      <w:r>
        <w:rPr>
          <w:b/>
        </w:rPr>
        <w:t xml:space="preserve">Quelle: </w:t>
      </w:r>
      <w:r>
        <w:t>https://mcp.opencaselaw.ch/entscheid/ag_verwaltungsgericht_WBE.2025.150</w:t>
      </w:r>
    </w:p>
    <w:p>
      <w:r>
        <w:t>FR: AG_VERWALTUNGSGERICHT WBE.2025.150 du 18 juin 2025</w:t>
      </w:r>
    </w:p>
    <w:p>
      <w:r>
        <w:t>IT: AG_VERWALTUNGSGERICHT WBE.2025.150 del 18 giugno 2025</w:t>
      </w:r>
    </w:p>
    <w:p>
      <w:pPr>
        <w:pStyle w:val="Heading2"/>
      </w:pPr>
      <w:r>
        <w:t>Erwägungen</w:t>
      </w:r>
    </w:p>
    <w:p>
      <w:r>
        <w:rPr>
          <w:b/>
        </w:rPr>
        <w:t>E. 2</w:t>
      </w:r>
    </w:p>
    <w:p>
      <w:r>
        <w:t>Es werden keine Gebühren erhoben.</w:t>
      </w:r>
    </w:p>
    <w:p>
      <w:r>
        <w:rPr>
          <w:b/>
        </w:rPr>
        <w:t>E. 3</w:t>
      </w:r>
    </w:p>
    <w:p>
      <w:r>
        <w:t>Nach dem Gesagten ist festzuhalten, dass die Einsprache zu Recht abge- wiesen wurde, weil weder ein nachehelicher noch ein schwerwiegender persönlicher Härtefall vorliegt und die Wegweisung des Beschwerdeführers nicht zu beanstanden ist. Damit ist auch die Beschwerde abzuweisen.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