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WBE.2024.49 vom 8. Mai 2026</w:t>
      </w:r>
    </w:p>
    <w:p>
      <w:r>
        <w:t>AG Verwaltungsgericht, 2026-05-08, DE</w:t>
      </w:r>
    </w:p>
    <w:p>
      <w:r>
        <w:rPr>
          <w:b/>
        </w:rPr>
        <w:t xml:space="preserve">Quelle: </w:t>
      </w:r>
      <w:r>
        <w:t>https://mcp.opencaselaw.ch/entscheid/ag_verwaltungsgericht_WBE.2024.49</w:t>
      </w:r>
    </w:p>
    <w:p>
      <w:r>
        <w:t>FR: AG_VERWALTUNGSGERICHT WBE.2024.49 du 8 mai 2026</w:t>
      </w:r>
    </w:p>
    <w:p>
      <w:r>
        <w:t>IT: AG_VERWALTUNGSGERICHT WBE.2024.49 del 8 maggio 2026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Kammer WBE.2024.49 / jh / JH / we (3-RV.2022.68) Art. 25 Urteil vom 8. Mai 2026 Besetzung Verwaltungsrichter J. Huber, Vorsitz Verwaltungsrichterin Schircks Verwaltungsrichter Winkler Gerichtsschreiber Hössle Beschwerde- A._____ GmbH führerin vertreten durch Dr. iur. Benno Studer, Fürsprecher und Notar, und / oder MLaw Cédric Bär, dipl. Steuerexperte, Studer Anwälte und Notare AG, Hintere Bahnhofstrasse 11A, Postfach, 5080 Laufenburg gegen Kantonales Steueramt, Geschäftsbereich Recht, Rechtsdienst, Telli-Hochhaus, 5004 Aarau Gegenstand Beschwerdeverfahren betreffend Feststellung der Steuerpflicht Entscheid des Spezialverwaltungsgerichts, Abt. Steuern, vom 21. Dezember 2023</w:t>
      </w:r>
    </w:p>
    <w:p>
      <w:r>
        <w:t>- 2 - Das Verwaltungsgericht entnimmt den Akten: A. 1. Die A._____ GmbH wurde am tt.mm. 2014 ins Handelsregister eingetra- gen. Sie bezweckt den An- und Verkauf von landwirtschaftlichen Erzeug- nissen, Handel derselben und von landwirtschaftlichen Produktionsmitteln, Maschinen, Gerätschaften und dergleichen sowie Handel und Erbringen von Dienstleistungen jeglicher Art in diesem Bereich. Gesellschafter der A._____ GmbH sind seit der Gründung die Eheleute B._____ und C._____ mit Wohnsitz am Q._____, in R._____ (seit dem 1. Januar 2022 ist R._____ infolge Fusion Teil der Einwohnergemeinde U._____). Gemäss Handelsregistereintrag lag der Sitz der A._____ GmbH bis zum</w:t>
      </w:r>
    </w:p>
    <w:p>
      <w:r>
        <w:rPr>
          <w:b/>
        </w:rPr>
        <w:t>E. 7</w:t>
      </w:r>
    </w:p>
    <w:p>
      <w:r>
        <w:t>Dezember 2023 im Kanton V._____, mit Domiziladresse bei der D._____ GmbH, R-Strasse 5, in V._____. Per 8. Dezember 2023 wurde der Sitz an die Wohnadresse von B._____ und C._____ verlegt. 2. Mit Feststellungsverfügung vom 17. Dezember 2020 verfügte das Kanto- nale Steueramt (KStA), dass die A._____ GmbH ab 1. Januar 2014 im Kan- ton Aargau unbeschränkt steuerpflichtig sei. B. 1. Dagegen erhob die A._____ GmbH mit Schreiben vom 15. Januar 2021 Einsprache beim KStA. Sie beantragte die Aufhebung der Feststellungs- verfügung vom 17. Dezember 2020 sowie die Anerkennung des steuerli- chen Sitzes im Kanton V._____. 2. Das KStA wies die Einsprache mit Entscheid vom 4. Mai 2022 ab. In Ab- weichung zur Feststellungsverfügung vom 17. Dezember 2020 hielt das KStA im Entscheiddispositiv die unbeschränkte Steuerpflicht der A._____ GmbH neu ab tt.mm. 2014 und nur für die Kantons- und Gemeindesteuern im Kanton Aargau fest. C.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