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AG_VERWALTUNGSGERICHT WBE.2024.450 vom 15. September 2025</w:t>
      </w:r>
    </w:p>
    <w:p>
      <w:r>
        <w:t>AG Verwaltungsgericht, 2025-09-15, DE</w:t>
      </w:r>
    </w:p>
    <w:p>
      <w:r>
        <w:rPr>
          <w:b/>
        </w:rPr>
        <w:t xml:space="preserve">Quelle: </w:t>
      </w:r>
      <w:r>
        <w:t>https://mcp.opencaselaw.ch/entscheid/ag_verwaltungsgericht_WBE.2024.450</w:t>
      </w:r>
    </w:p>
    <w:p>
      <w:r>
        <w:t>FR: AG_VERWALTUNGSGERICHT WBE.2024.450 du 15 septembre 2025</w:t>
      </w:r>
    </w:p>
    <w:p>
      <w:r>
        <w:t>IT: AG_VERWALTUNGSGERICHT WBE.2024.450 del 15 settembre 2025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Es werden keine Gebühren erhoben.</w:t>
      </w:r>
    </w:p>
    <w:p>
      <w:r>
        <w:rPr>
          <w:b/>
        </w:rPr>
        <w:t>E. 3</w:t>
      </w:r>
    </w:p>
    <w:p>
      <w:r>
        <w:t>Nach dem Gesagten ist festzuhalten, dass die Einsprache zu Recht abge- wiesen wurde, weil einerseits die finanziellen Voraussetzungen von Art. 28 lit. c AIG nicht erfüllt sind und andererseits kein schwerwiegender persön- licher Härtefall vorliegt. Damit ist auch die Beschwerde abzuweisen. III. Im Beschwerdeverfahren werden die Verfahrenskosten nach Massgabe des Unterliegens und Obsiegens auf die Parteien verlegt (§ 31 Abs. 2 VRPG). Nachdem die Beschwerdeführenden vollumfänglich unterliegen, gehen die Kosten des verwaltungsgerichtlichen Verfahrens zu ihren Lasten. Da sie die Beschwerde gemeinsam erhoben haben, ist ihre volle solidarische Haftbarkeit anzuordnen (§ 33 Abs. 3 VRPG). Ein Parteikosten- ersatz fällt ausser Betracht (§ 32 Abs. 2 VRPG). Das Verwaltungsgericht erkennt: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