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WBE.2024.438 vom 24. März 2025</w:t>
      </w:r>
    </w:p>
    <w:p>
      <w:r>
        <w:t>AG Verwaltungsgericht, 2025-03-24, DE</w:t>
      </w:r>
    </w:p>
    <w:p>
      <w:r>
        <w:rPr>
          <w:b/>
        </w:rPr>
        <w:t xml:space="preserve">Quelle: </w:t>
      </w:r>
      <w:r>
        <w:t>https://mcp.opencaselaw.ch/entscheid/ag_verwaltungsgericht_WBE.2024.438</w:t>
      </w:r>
    </w:p>
    <w:p>
      <w:r>
        <w:t>FR: AG_VERWALTUNGSGERICHT WBE.2024.438 du 24 mars 2025</w:t>
      </w:r>
    </w:p>
    <w:p>
      <w:r>
        <w:t>IT: AG_VERWALTUNGSGERICHT WBE.2024.438 del 24 marzo 2025</w:t>
      </w:r>
    </w:p>
    <w:p>
      <w:pPr>
        <w:pStyle w:val="Heading2"/>
      </w:pPr>
      <w:r>
        <w:t>Erwägungen</w:t>
      </w:r>
    </w:p>
    <w:p>
      <w:r>
        <w:rPr>
          <w:b/>
        </w:rPr>
        <w:t>E. 3</w:t>
      </w:r>
    </w:p>
    <w:p>
      <w:r>
        <w:t>Juli 2024, welcher wegen der zum Beschwerdeführer bestehenden auf- tragsrechtlichen Vertrauensstellung mit Zurückhaltung zu würdigen ist (Ur- teil des Bundesgerichts 1C_310/2015 vom 8. Dezember 2015, Erw. 2.3.2 mit Hinweisen), wirft klärungsbedürftige Sachverhaltsfragen auf. So er- wähnt der Hausarzt "Ereignisse vom Mai und Juni dieses Jahres" und setzt diese Geschehnisse als bekannt voraus. Vom Ereignis am 27. Mai 2024 dürfte er damit wohl Kenntnis erlangt haben. Er geht aber auf die damals – bei einer festgestellten Atemalkoholkonzentration von 1.39 mg/l – zweifel- los bestehende erhebliche Alkoholisierung mit keinem Wort ein. Zudem bleibt unklar, wann die vom Hausarzt genannten "Blutkontrollen" genau stattgefunden haben, insbesondere ob diese auch im näheren Vorfeld der Spitalaufenthalte oder nach Austritt aus dem Spital durchgeführt wurden, und was diese Kontrollen konkret umfassten. Es leuchtet ein, dass aus wei- ter zurückliegenden Blutuntersuchungen keine Rückschlüsse auf die aktu- elle Situation möglich wären. Vor diesem Hintergrund bleibt fraglich, worauf der Hausarzt seine Einschätzung stützt, wonach keine Hinweise auf einen aktuellen Alkoholüberkonsum bestünden, zumal sich aus seinem Bericht nicht ergibt, aus welchen Gründen sich der Beschwerdeführer nach Spital- austritt in "hausärztlicher Betreuung" befand. Insgesamt dürfte der Haus- arztbericht damit nicht zur Klärung des Sachverhalts beitragen, sondern im Gegenteil weitere Fragen aufwerfen. Es dürfte daher angezeigt sein, die offenen Fragen nach vorgängiger Entbindung vom Berufsgeheimnis vom Hausarzt klären zu lassen. Im Übrigen ist zu erwähnen, dass nicht nur der Aufenthalt vom 27. Mai 2024 im Spital Q._____ dokumentiert sein dürfte, sondern auch der direkt daran anschliessende in der [...] Psychiatrie. Diesbezüglich ist anzunehmen, dass dieser Aufenthalt ebenfalls zumindest mit einem Austrittsbericht abge- schlossen worden ist, woraus sich unter anderem allenfalls beim Be- schwerdeführer gestellte (Verdachts-)Diagnosen ergeben dürften. Auch in dieser Hinsicht wäre deshalb der entsprechende Klinikbericht einzufordern. 5.3. Nach dem Gesagten steht fest, dass sich der von der Vorinstanz festge- stellte Sachverhalt als unvollständig erweist, weshalb hier nicht materiell beurteilt werden kann, ob die Zweifel an der Fahreignung des Beschwer- deführers für die Anordnung einer Fahreignungsabklärung mit gleichzeiti- gem vorsorglichem Führerausweisentzug ausreichend begründet sind. Es</w:t>
      </w:r>
    </w:p>
    <w:p>
      <w:r>
        <w:t>- 19 - ist nicht Aufgabe des Verwaltungsgerichts, die notwendigen Sachverhalts- abklärungen im vorliegenden Beschwerdeverfahren nachzuholen, zumal die Parteien ansonsten einer Instanz verlustig gingen (vgl. Entscheid des Verwaltungsgerichts WBE.2019.32 vom 27. Juni 2019, Erw. II/2.5.2). Dem- entsprechend ist die Angelegenheit zur weiteren Sachverhaltsabklärung und Neubeurteilung an die Vorinstanz zurückzuweisen. Wie erwähnt (siehe vorne Erw. 5.2.2) trifft den Beschwerdeführer dabei eine Mitwirkungspflicht. Käme er dieser nicht nach, müsste ihm dies negativ angelastet werden (Ur- teil des Bundesgerichts 1C_780/2021 vom 22. Juni 2022, Erw. 4.7 mit Hin- weisen; WEISSENBERGER, a.a.O., N. 16 zu Art. 15d SVG).</w:t>
      </w:r>
    </w:p>
    <w:p>
      <w:r>
        <w:rPr>
          <w:b/>
        </w:rPr>
        <w:t>E. 6</w:t>
      </w:r>
    </w:p>
    <w:p>
      <w:r>
        <w:t>Zusammenfassend ist in teilweiser Gutheissung der Beschwerde der vor- instanzliche Entscheid aufzuheben und die Angelegenheit ist infolge un- vollständig festgestellten Sachverhalts zur weiteren Sachverhaltsabklärung und Neubeurteilung an die Vorinstanz zurückzuweisen. Damit hat die Vor- instanz erneut die Verfügung des Strassenverkehrsamts vom 12. Septem- ber 2024 zu beurteilen, welcher die aufschiebende Wirkung entzogen wur- de. Bei diesem Verfahrensausgang erübrigt sich im verwaltungsgerichtli- chen Beschwerdeverfahren eine materielle Beurteilung der Fahreignungs- untersuchung und des vorsorglichen Führerausweisentzugs. Somit ist nicht weiter auf die entsprechenden Argumente des Beschwerdeführers einzu- gehen.</w:t>
      </w:r>
    </w:p>
    <w:p>
      <w:r>
        <w:rPr>
          <w:b/>
        </w:rPr>
        <w:t>E. 7</w:t>
      </w:r>
    </w:p>
    <w:p>
      <w:r>
        <w:t>Die Vorinstanz hat in ihrem Entscheid vom 24. Oktober 2024 einer allfälli- gen Beschwerde die aufschiebende Wirkung entzogen (angefochtener Ent- scheid, Dispositiv-Ziffer 2). Der Beschwerdeführer beantragt, seiner Be- schwerde sei die aufschiebende Wirkung zu erteilen. Auf einen separaten Entscheid bezüglich der Frage der aufschiebenden Wirkung (vgl. § 46 VRPG) kann verzichtet werden, wenn der Entscheid in der Hauptsache in- nert kurzer Frist ergehen kann (Entscheid des Verwaltungsgerichts WBE.2022.2 vom 8. März 2022, Erw. II/6 mit Hinweisen). Mit dem nun vor- liegenden Rückweisungsentscheid wird das Begehren um Erteilung der aufschiebenden Wirkung gegenstandslos. Die Vorinstanz wird im Rahmen der weiteren Sachverhaltsabklärungen gegebenenfalls über die Anordnung vorsorglicher Massnahmen befinden.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vorinstanzliche Entscheid wird antragsgemäss aufgehoben, wobei offen ist, ob die Vorinstanz nach erfolgter Sachverhalts-</w:t>
      </w:r>
    </w:p>
    <w:p>
      <w:r>
        <w:t>- 20 - abklärung die vom Strassenverkehrsamt angeordneten Massnahmen be- stätigen oder aufheben wird. Rechtsprechungsgemäss gilt die Rückwei- sung der Sache zu neuem Entscheid mit offenem Verfahrensausgang in Bezug auf die Kostenverlegung als vollständiges Obsiegen, unabhängig davon, ob sie beantragt und ob das entsprechende Begehren im Haupt- oder im Eventualantrag gestellt wird (vgl. BGE 141 V 281, Erw. 11.1; Urteil des Bundesgerichts 8C_237/2017 vom 4. Oktober 2017, Erw. 6; Entscheid des Verwaltungsgerichts WBE.2023.284 vom 21. November 2023, Erw. III/1). Der Beschwerdeführer ist somit im Hinblick auf die Kostenverle- gung als obsiegend zu betrachten, zumal das Nichteintreten auf den Antrag um Aufhebung der Verfügung des Strassenverkehrsamts vom 12. Septem- ber 2024 (siehe vorne Erw. I/3) zufolge Geringfügigkeit des Unterliegens nicht ins Gewicht fällt. Damit ist auch die Verletzung des rechtlichen Gehörs durch die Vorinstanz (siehe vorne Erw. II/2.4) im Kostenpunkt nicht weiter zu berücksichtigen. Da dem DVI und dem Strassenverkehrsamt weder schwerwiegende Verfahrensfehler noch Willkür in der Sache vorzuwerfen sind, gehen die verwaltungsgerichtlichen Verfahrenskosten zu Lasten des Kantons. 2. 2.1. Gemäss § 32 Abs. 2 VRPG werden im Beschwerdeverfahren auch die Par- teikosten in der Regel nach Massgabe des Unterliegens und Obsiegens auf die Parteien verlegt. Die Behörden werden in dieser Hinsicht nicht pri- vilegiert, sondern den übrigen Parteien gleichgestellt. Nachdem der Be- schwerdeführer als obsiegend gilt, haben ihm aufgrund ihrer Parteistellung das DVI und das Strassenverkehrsamt gemäss § 33 Abs. 1 VRPG die im verwaltungsgerichtlichen Verfahren entstandenen Parteikosten je zur Hälf- te zu ersetzen. Was die Parteikosten des Verfahrens vor dem DVI betrifft, werden diese beim Erlass eines neuen Entscheids durch das DVI festzu- setzen sein. 2.2. 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w:t>
      </w:r>
    </w:p>
    <w:p>
      <w:r>
        <w:t>- 21 - Teilnahme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 2.3. Die Kosten und damit auch die Parteientschädigung werden von Amtes wegen verlegt (vgl. MICHAEL MERKER, Rechtsmittel, Klage und Normenkon- trollverfahren nach dem aargauischen Gesetz über die Verwaltungsrechts- pflege vom 9. Juli 1968 [aVRPG], 1998, N. 11 und 41 zu § 39 aVRPG). Nachdem nur bei Gewährung der unentgeltlichen Rechtspflege eine Rech- nung bei der Rechtsvertretung einzuverlangen ist (§ 12 Abs. 1 Anwaltstarif; vgl. Urteile des Bundesgerichts 8C_63/2014 vom 12. Mai 2014, Erw. 5.3; 8C_228/2022 vom 8. November 2022, Erw. 5.2.2), besteht vorliegend keine Verpflichtung, den Rechtsvertreter des Beschwerdeführers zur Ein- reichung einer Kostennote aufzufordern. Seinem diesbezüglichen Antrag (Verwaltungsgerichtsbeschwerde, Rz. 39) ist daher nicht zu entsprechen. Im Übrigen stand es ihm frei, aus eigener Initiative eine Kostennote einzu- reichen. 2.4. Im Administrativverfahren fand keine Verhandlung statt. Der mutmassliche Aufwand des Rechtsvertreters und die Komplexität der Materie sind höchs- tens als durchschnittlich zu bezeichnen. Höher zu gewichten ist die Bedeu- tung des Falles für den Beschwerdeführer. Es rechtfertigt sich gesamthaft betrachtet, die Parteientschädigung eher im unteren Bereich des weiten Rahmens von § 3 Abs. 1 lit. b Anwaltstarif anzusetzen. Unter Berücksichti- gung sämtlicher Faktoren und gestützt auf § 8 Abs. 1 Anwaltstarif wird die Parteientschädigung für die Vertretung des Beschwerdeführers im verwal- tungsgerichtlichen Verfahren auf Fr. 2'600.00 (inkl. Auslagen und Mehr- wertsteuer) festgesetzt, wobei die Vorinstanzen diese je hälftig mit je Fr. 1'300.00 zu ersetzen haben.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