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WBE.2024.42 vom 10. April 2024</w:t>
      </w:r>
    </w:p>
    <w:p>
      <w:r>
        <w:t>AG Verwaltungsgericht, 2024-04-10, DE</w:t>
      </w:r>
    </w:p>
    <w:p>
      <w:r>
        <w:rPr>
          <w:b/>
        </w:rPr>
        <w:t xml:space="preserve">Quelle: </w:t>
      </w:r>
      <w:r>
        <w:t>https://mcp.opencaselaw.ch/entscheid/ag_verwaltungsgericht_WBE.2024.42</w:t>
      </w:r>
    </w:p>
    <w:p>
      <w:r>
        <w:t>FR: AG_VERWALTUNGSGERICHT WBE.2024.42 du 10 avril 2024</w:t>
      </w:r>
    </w:p>
    <w:p>
      <w:r>
        <w:t>IT: AG_VERWALTUNGSGERICHT WBE.2024.42 del 10 aprile 2024</w:t>
      </w:r>
    </w:p>
    <w:p>
      <w:pPr>
        <w:pStyle w:val="Heading2"/>
      </w:pPr>
      <w:r>
        <w:t>Erwägungen</w:t>
      </w:r>
    </w:p>
    <w:p>
      <w:r>
        <w:rPr>
          <w:b/>
        </w:rPr>
        <w:t>E. 3</w:t>
      </w:r>
    </w:p>
    <w:p>
      <w:r>
        <w:t>Gegen den Beschluss der Gemeindeversammlung wurde das Referen- dum erhoben. In der Urnenabstimmung vom 27. September 2020 nahmen die Stimmberechtigten die Änderung von § 9a Abs. 6 BNO an. Der rechtsgültige Beschluss der Gemeindeversammlung vom 28. November 2019 wurde am 5. November 2020 im amtlichen Publikationsorgan der Gemeinde und im kantonalen Amtsblatt publiziert. In den jeweiligen Rechtsmittelbelehrungen wurde darauf hingewiesen, dass gegen die Pla- nung innert 30 Tagen Beschwerde beim Regierungsrat erhoben werden konnte. Innert Frist wurden keine Beschwerden erhoben.</w:t>
      </w:r>
    </w:p>
    <w:p>
      <w:r>
        <w:t>- 3 -</w:t>
      </w:r>
    </w:p>
    <w:p>
      <w:r>
        <w:rPr>
          <w:b/>
        </w:rPr>
        <w:t>E. 4</w:t>
      </w:r>
    </w:p>
    <w:p>
      <w:r>
        <w:t>Eine Nichtigkeit des Genehmigungsentscheids liegt somit nicht vor. Die Beschwerde ist folglich abzuweisen, soweit darauf eingetreten werden darf. Bei diesem Ergebnis wird der Antrag auf Gewährung der aufschiebenden Wirkung (§ 28 Satz 2 BauG) gegenstandslos. Auf die Durchführung eines Schriftenwechsels konnte verzichtet werden (§ 45 Abs. 1 VRPG).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