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WBE.2024.40 vom 13. August 2024</w:t>
      </w:r>
    </w:p>
    <w:p>
      <w:r>
        <w:t>AG Verwaltungsgericht, 2024-08-13, DE</w:t>
      </w:r>
    </w:p>
    <w:p>
      <w:r>
        <w:rPr>
          <w:b/>
        </w:rPr>
        <w:t xml:space="preserve">Quelle: </w:t>
      </w:r>
      <w:r>
        <w:t>https://mcp.opencaselaw.ch/entscheid/ag_verwaltungsgericht_WBE.2024.40</w:t>
      </w:r>
    </w:p>
    <w:p>
      <w:r>
        <w:t>FR: AG_VERWALTUNGSGERICHT WBE.2024.40 du 13 août 2024</w:t>
      </w:r>
    </w:p>
    <w:p>
      <w:r>
        <w:t>IT: AG_VERWALTUNGSGERICHT WBE.2024.40 del 13 agosto 2024</w:t>
      </w:r>
    </w:p>
    <w:p>
      <w:pPr>
        <w:pStyle w:val="Heading2"/>
      </w:pPr>
      <w:r>
        <w:t>Erwägungen</w:t>
      </w:r>
    </w:p>
    <w:p>
      <w:r>
        <w:rPr>
          <w:b/>
        </w:rPr>
        <w:t>E. 2</w:t>
      </w:r>
    </w:p>
    <w:p>
      <w:r>
        <w:t>Der Beschwerdeführer beanstandet ferner die Nichtgewährung der unent- geltlichen Rechtspflege durch die Vorinstanz, welche ihm im Entscheid vom 24. November 2023 die Verfahrenskosten in Höhe von Fr. 200.00 auferlegt hat. Auf Gesuch befreit die zuständige Behörde natürliche Personen von der Kosten- und Vorschusspflicht, wenn die Partei ihre Bedürftigkeit nachweist und das Begehren zudem nicht aussichtslos erscheint (§ 34 Abs. 1 VRPG). Unter den gleichen Voraussetzungen kann einer Partei eine unentgeltliche Rechtsvertretung bestellt werden, wenn es die Schwere einer Massnahme</w:t>
      </w:r>
    </w:p>
    <w:p>
      <w:r>
        <w:t>- 12 - oder die Rechtslage rechtfertigt und die Vertretung zur gehörigen Wahrung der Interessen der Partei notwendig ist (§ 34 Abs. 2 VRPG). Der Beschwerdeführer geht fehl in der Annahme, dass die Vorinstanz das Gesuch um unentgeltliche Rechtspflege (nur) deshalb abgewiesen hat, weil es seinen Fall als Bagatelle eingestuft habe. Sie hat in diesem Zusammen- hang lediglich ausgeführt, dass es sich bei der Disziplinarsanktion um einen minder schweren Eingriff in die Rechtsstellung des Beschwerdeführers ohne besondere Schwierigkeiten rechtlicher oder tatsächlicher Natur handle. Das Gesuch hat sie in erster Linie infolge Aussichtslosigkeit sowie der mutmasslichen Fähigkeit des Beschwerdeführers, sich im Verfahren zurechtzufinden, abgewiesen. Die Ausführungen der Vorinstanz sind nicht zu beanstanden. Aufgrund der vorliegenden Aktenlage (vgl. Erw. II/1.4) durfte sie die Begehren des Be- schwerdeführers im vorinstanzlichen Verfahren (sinngemäss: [1] Aufhe- bung der Verfügung und Löschung aus den Akten, [2] alternativ Ausspra- che einer Ermahnung, [3] keine Kommunikation über die ausgefällte Sank- tion gegenüber extern bis zur Rechtskraft der Verfügung, [4] Gewährleis- tung des freien telefonischen Anwaltskontaktes am gleichen Tag, während den üblichen Telefonzeiten und ohne Beisein eines Sozialarbeitenden, [5] Aushändigung aller Vollzugsgesetze und Vollzugsverordnungen des Kantons, aller Konkordatsrichtlinien und des "VRG", [6] Annullierung des Entzugs der aufschiebenden Wirkung der Beschwerde) als aussichtslos einstufen, womit sich eine Prüfung der Mittellosigkeit des Beschwerdefüh- rers erübrigte. Zudem haben es weder die Rechtslage noch die Schwere der Massnahme oder die Komplexität der Angelegenheit geboten, dem Be- schwerdeführer einen unentgeltlichen Rechtsbeistand zu bestellen. Folg- lich hat die Vorinstanz das Gesuch um unentgeltliche Rechtspflege zu Recht abgewiesen. III. Im Ergebnis wird die Beschwerde abgewiesen, soweit darauf eingetreten wird. Bei diesem Ausgang des Verfahrens hat der Beschwerdeführer die verwaltungsgerichtlichen Verfahrenskosten zu tragen (§ 31 Abs. 2 VRPG). Parteikostenersatz fällt ausser Betracht (§ 32 Abs. 2 VRPG). Der Beschwerdeführer hat in seiner Eingabe vom 30. Januar 2024 sinnge- mäss auch für das Verfahren vor Verwaltungsgericht um unentgeltliche Rechtspflege ersucht. Nach den obigen Ausführungen erscheinen die Be- gehren des Beschwerdeführers offensichtlich aussichtslos. Im Übrigen rechtfertigt sich auch im verwaltungsgerichtlichen Verfahren die Einsetzung einer unentgeltlichen Rechtsvertretung nicht (vgl. vorne Erw. II.2; § 34 Abs. 2 VRPG).</w:t>
      </w:r>
    </w:p>
    <w:p>
      <w:r>
        <w:t>- 13 -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