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WBE.2024.383 vom 3. Juli 2025</w:t>
      </w:r>
    </w:p>
    <w:p>
      <w:r>
        <w:t>AG Verwaltungsgericht, 2025-07-03, DE</w:t>
      </w:r>
    </w:p>
    <w:p>
      <w:r>
        <w:rPr>
          <w:b/>
        </w:rPr>
        <w:t xml:space="preserve">Quelle: </w:t>
      </w:r>
      <w:r>
        <w:t>https://mcp.opencaselaw.ch/entscheid/ag_verwaltungsgericht_WBE.2024.383</w:t>
      </w:r>
    </w:p>
    <w:p>
      <w:r>
        <w:t>FR: AG_VERWALTUNGSGERICHT WBE.2024.383 du 3 juillet 2025</w:t>
      </w:r>
    </w:p>
    <w:p>
      <w:r>
        <w:t>IT: AG_VERWALTUNGSGERICHT WBE.2024.383 del 3 luglio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Es soll eine angemessene Parteikostenentschädigung ausgerichtet wer- den.</w:t>
      </w:r>
    </w:p>
    <w:p>
      <w:r>
        <w:rPr>
          <w:b/>
        </w:rPr>
        <w:t>E. 3.1</w:t>
      </w:r>
    </w:p>
    <w:p>
      <w:r>
        <w:t>Soweit die Beschwerdeführer vorbringen, sie seien sich sicher, dass sich der Entscheid der Vorinstanz auf einen "Austausch mit der Gemeinde" stütze (vgl. Beschwerde, S. 2 [Ziffer 5]), ist der Einwand durch nichts unter- mauert. Die Vorinstanz bestreitet den Vorwurf zudem (Beschwerdeantwort Vorinstanz). Es bestehen keinerlei Anhaltspunkte, dass sich die Vorinstanz und die Gemeinde informell abgesprochen hätten.</w:t>
      </w:r>
    </w:p>
    <w:p>
      <w:r>
        <w:rPr>
          <w:b/>
        </w:rPr>
        <w:t>E. 3.2</w:t>
      </w:r>
    </w:p>
    <w:p>
      <w:r>
        <w:t>In den übrigen Ausführungen bekunden die Beschwerdeführer im Wesent- lichen ihren Unmut über die Gemeinde bzw. deren Behörden. Für die Be- urteilung des konkreten Falles sind die Vorbringen nicht relevant, weshalb darauf nicht weiter einzugehen ist. Hinzuweisen ist einzig, dass z.B. der Vorhalt "Die Gemeinde Q._____ kann, wenn sie dies will, eine Reduktion der Gewässerraumbreite bewilligen" (Beschwerde, S. 2 [Ziffer 2]), nicht korrekt ist. Der Gemeinde steht es nicht zu, im Baubewilligungsverfahren nach eigenem Gutdünken eine Reduktion des Gewässerraums bzw. des Bachabstands zu bewilligen. Bauten und Anlagen, die – wie hier – den Ge- wässerraum beanspruchen, bedürfen zwingend einer kantonalen Zustim- mung (§ 63 Abs. 1 lit. c BauG; siehe bereits angefochtener Entscheid, S. 2).</w:t>
      </w:r>
    </w:p>
    <w:p>
      <w:r>
        <w:rPr>
          <w:b/>
        </w:rPr>
        <w:t>E. 4</w:t>
      </w:r>
    </w:p>
    <w:p>
      <w:r>
        <w:t>Zusammenfassend erweist sich die Beschwerde als unbegründet, weshalb sie abzuweisen ist. III. Bei diesem Ausgang des Verfahrens werden die Beschwerdeführer kos- tenpflichtig (§ 31 Abs. 2 VRPG). Parteikosten sind keine zu ersetzen (vgl. § 32 Abs. 2 i.V.m. § 29 VRPG). Das Verwaltungsgericht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