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WBE.2024.330 vom 12. Juni 2025</w:t>
      </w:r>
    </w:p>
    <w:p>
      <w:r>
        <w:t>AG Verwaltungsgericht, 2025-06-12, DE</w:t>
      </w:r>
    </w:p>
    <w:p>
      <w:r>
        <w:rPr>
          <w:b/>
        </w:rPr>
        <w:t xml:space="preserve">Quelle: </w:t>
      </w:r>
      <w:r>
        <w:t>https://mcp.opencaselaw.ch/entscheid/ag_verwaltungsgericht_WBE.2024.330</w:t>
      </w:r>
    </w:p>
    <w:p>
      <w:r>
        <w:t>FR: AG_VERWALTUNGSGERICHT WBE.2024.330 du 12 juin 2025</w:t>
      </w:r>
    </w:p>
    <w:p>
      <w:r>
        <w:t>IT: AG_VERWALTUNGSGERICHT WBE.2024.330 del 12 giugno 2025</w:t>
      </w:r>
    </w:p>
    <w:p>
      <w:pPr>
        <w:pStyle w:val="Heading2"/>
      </w:pPr>
      <w:r>
        <w:t>Erwägungen</w:t>
      </w:r>
    </w:p>
    <w:p>
      <w:r>
        <w:rPr>
          <w:b/>
        </w:rPr>
        <w:t>E. 2</w:t>
      </w:r>
    </w:p>
    <w:p>
      <w:r>
        <w:t>Es werden keine Gebühren erhoben.</w:t>
      </w:r>
    </w:p>
    <w:p>
      <w:r>
        <w:rPr>
          <w:b/>
        </w:rPr>
        <w:t>E. 2.1</w:t>
      </w:r>
    </w:p>
    <w:p>
      <w:r>
        <w:t>Mit Verfügung vom 7. Oktober 2024 wurde dem Beschwerdeführer für das vorliegende Beschwerdeverfahren die unentgeltliche Rechtspflege bewilligt und sein Anwalt als unentgeltlicher Rechtsvertreter eingesetzt (act. 37 f.).</w:t>
      </w:r>
    </w:p>
    <w:p>
      <w:r>
        <w:rPr>
          <w:b/>
        </w:rPr>
        <w:t>E. 2.2</w:t>
      </w:r>
    </w:p>
    <w:p>
      <w:r>
        <w:t>Die Verfahrenskosten und die dem unentgeltlichen Rechtsvertreter des Be- schwerdeführers durch die Obergerichtskasse für das vorliegende Be- schwerdeverfahren auszurichtende Entschädigung sind in der unentgelt- lichen Rechtspflege vorzumerken, unter dem Vorbehalt späterer Nachzah- lung durch den Beschwerdeführer gemäss Art. 123 Abs. 1 der Schweizeri- schen Zivilprozessordnung vom 19. Dezember 2008 (ZPO; SR 272; vgl. § 2 EGAR i.V.m. § 34 Abs. 3 VRPG).</w:t>
      </w:r>
    </w:p>
    <w:p>
      <w:r>
        <w:rPr>
          <w:b/>
        </w:rPr>
        <w:t>E. 2.3</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Der Rechtsvertreter des Beschwerdeführers ist deshalb aufzufordern, dem Verwaltungsgericht eine detaillierte Rechnung für das vorliegende Be- schwerdeverfahren einzureichen.</w:t>
      </w:r>
    </w:p>
    <w:p>
      <w:r>
        <w:rPr>
          <w:b/>
        </w:rPr>
        <w:t>E. 2.4</w:t>
      </w:r>
    </w:p>
    <w:p>
      <w:r>
        <w:t>Die dem unentgeltlichen Rechtsvertreter für das Beschwerdeverfahren auszurichtende Entschädigung ist durch den vorsitzenden Verwaltungs- richter mit separater Verfügung festzusetzen.</w:t>
      </w:r>
    </w:p>
    <w:p>
      <w:r>
        <w:rPr>
          <w:b/>
        </w:rPr>
        <w:t>E. 2.5</w:t>
      </w:r>
    </w:p>
    <w:p>
      <w:r>
        <w:t>Über die im Rahmen der gewährten unentgeltlichen Rechtspflege für das Einspracheverfahren auszuzahlende Entschädigung hat die Vorinstanz zu entscheiden (§ 12 AnwT). Der Rechtsvertreter des Beschwerdeführers hat der Vorinstanz eine detaillierte Rechnung für das Einspracheverfahren ein- zureichen.</w:t>
      </w:r>
    </w:p>
    <w:p>
      <w:r>
        <w:t>- 26 - Das Verwaltungsgericht erkennt:</w:t>
      </w:r>
    </w:p>
    <w:p>
      <w:r>
        <w:rPr>
          <w:b/>
        </w:rPr>
        <w:t>E. 3</w:t>
      </w:r>
    </w:p>
    <w:p>
      <w:r>
        <w:t>Unter Kosten- und Entschädigungsfolgen (zzgl. MwSt. und Auslagen) zu- lasten des Staates. Die Begründung ergibt sich, soweit erforderlich, aus den nachstehenden Erwägungen. Mit instruktionsrichterlicher Verfügung vom 7. Oktober 2024 bewilligte das Verwaltungsgericht die unentgeltliche Rechtspflege, setzte seinen Anwalt als unentgeltlichen Rechtsvertreter ein und stellte die Verwaltungsgerichts- beschwerde samt Beilagen der Vorinstanz zur Beschwerdeantwort zu (act. 37 f.). Hierauf reichte die Vorinstanz am 10. Oktober 2024 aufforderungsgemäss die Akten ein, hielt an ihren Erwägungen im angefochtenen Entscheid fest und beantragte die Abweisung der Beschwerde (act. 39). Die Beschwerde- antwort wurde dem Beschwerdeführer mit Instruktionsverfügung vom 11. Oktober 2024 zur Kenntnisnahme zugestellt. Ein weiterer Schriften- wechsel wurde nicht angeordnet (act. 40 f.). Am 29. Januar 2025 nahm das Verwaltungsgericht einen Rapport der Regionalpolizei T._____ vom 24. Januar 2025 samt Beilagen betreffend Konkurs- und Betreibungsdelikte zu den Akten (act. 42 ff.) und stellte die neuen Aktenstücke mit Verfügung vom 29. Januar 2025 dem Beschwerde- führer zur Kenntnisnahme zu (act. 46 f.). Das Verwaltungsgericht hat den Fall auf dem Zirkularweg entschieden (vgl. § 7 des Gerichtsorganisationsgesetzes vom 6. Dezember 2011 [GOG; SAR 155.200]).</w:t>
      </w:r>
    </w:p>
    <w:p>
      <w:r>
        <w:t>- 7 -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20. August 2024.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SCHINDLER/ANNE KNEER, in: Caroni/Thurnherr [Hrsg.], Stämpflis Handkommentar zum Aus- länder- und Integrationsgesetz [AIG], 2. Aufl., Bern 2024, N. 6 zu Art. 96 mit Hinweisen). In diesem Zusammenhang hat das Verwaltungsgericht ge- mäss bundesgerichtlicher Rechtsprechung insbesondere zu klären, ob die Vorinstanz die gemäss Art. 96 des Bundesgesetzes über die Ausländerin- nen und Ausländer und über die Integration vom 16. Dezember 2005 (Aus- länder- und Integrationsgesetz, AIG; SR 142.20) relevanten Kriterien (öffentliche Interessen, persönliche Verhältnisse, Integration) berücksich- tigt hat und ob diese rechtsfehlerfrei gewichtet wurden (vgl. SCHINDLER/KNEER, a.a.O., N. 8 zu Art. 96). Schliesslich ist im Rahmen einer Gesamtbetrachtung zu entscheiden, ob die getroffene Massnahme durch ein überwiegendes öffentliches Interesse gerechtfertigt erscheint (sog. Verhältnismässigkeit im engeren Sinn).</w:t>
      </w:r>
    </w:p>
    <w:p>
      <w:r>
        <w:t>- 8 - II. 1. 1.1. Die Vorinstanz hält im angefochtenen Entscheid im Wesentlichen fest, der Beschwerdeführer erfülle aufgrund seiner hohen Schulden das Integra- tionskriterium der Beachtung der öffentlichen Sicherheit und Ordnung ge- mäss Art. 58a Abs. 1 lit. a AIG nicht. Der Beschwerdeführer sei trotz diagnostizierter Persönlichkeitsstörung hinsichtlich seiner finanziellen Situation vollständig handlungsfähig und entsprechend auch verantwortlich für seine finanziellen Belange. Eine psychische Erkrankung rechtfertige die langjährige und hohe Verschuldung, wie sie beim Beschwerdeführer vor- liege, nicht. Insbesondere sei nicht verständlich, weshalb der Beschwerde- führer sich erst 2021 Unterstützung in der Regelung seiner finanziellen Ver- hältnisse geholt habe. Darüber hinaus habe die Verschuldung ausweislich der Akten auch nach 2021 weiter zugenommen. Zudem sei nicht ersicht- lich, inwiefern der Sozialhilfebezug von 2010 bis 2016 die damalige Schul- denbildung entschuldigen sollte. Die Sozialhilfe ermögliche die Deckung der Lebenshaltungskosten, weshalb sich der Beschwerdeführer hinsicht- lich der Schuldenbildung in jenem Zeitraum vorwerfen lassen müsse, über seinen Verhältnissen gelebt zu haben. Dementsprechend sei von einer mutwilligen Schuldenbildung auszugehen, weshalb beim Beschwerdefüh- rer ein aktuelles, hinreichend gewichtiges Integrationsdefizit i.S.v. Art. 58a Abs. 1 lit. a AIG i.V.m. Art. 77a VZAE bestehe. Aufgrund der langjährigen Schuldenbildung geht die Vorinstanz von einem grossen bis sehr grossen öffentlichen Interesse an einer Rückstufung aus. Auch unter Berücksichtigung der Tatsache, dass der Beschwerdeführer seit seiner Geburt in der Schweiz lebe und seit über 30 Jahren im Besitz der Niederlassungsbewilligung sei, würde dieses das private Interesse an einer Nichtrückstufung überwiegen. Die Rückstufung erweise sich damit nicht nur als rechtlich begründet, sondern auch als verhältnismässig. 1.2. Der Beschwerdeführer stellt sich demgegenüber auf den Standpunkt, die Schuldenanhäufung sei nicht mutwillig erfolgt. Infolge Ehescheidung sei er zur Bezahlung von Unterhaltsbeiträgen verpflichtet worden. Da er zu dieser Zeit arbeitsunfähig gewesen sei, keine Krankentaggeldversicherung ge- habt habe und über seinen IV-Rentenanspruch noch nicht entschieden worden sei, hätten ihm die finanziellen Mittel zur Begleichung der Unter- haltsbeiträge gefehlt. Dadurch sei der grösste Teil seiner Schulden entstan- den. Seit Bezug der IV-Rente sowie der Rente der Pensionskasse sei es dem Beschwerdeführer möglich, seinen laufenden Unterhaltsverpflich- tungen nachzukommen und seine Schulden in Form der Pfändung abzu- zahlen. Die weiter hinzugekommenen Schulden würden sich mit den fami- liären Verpflichtungen des Beschwerdeführers ohne Weiteres erklären und begründen lassen. Ebenfalls sei zu berücksichtigen, dass die Verschuldung</w:t>
      </w:r>
    </w:p>
    <w:p>
      <w:r>
        <w:t>- 9 - und die Betreibungen ihre Ursache in der von der Klinik D._____ diagnostizierten und von der Vorinstanz unbestrittenen psychischen Beeinträchtigung des Beschwerdeführers hätten. Allgemein sei eine klare Tendenz zu erkennen, wonach neue Schulden seit dem positiven IV- Entscheid jeweils in viel tieferem Umfang entstanden seien. Der Beschwerdeführer setze alles daran, seine Schuldensituation in den Griff zu bekommen. Dies zeige sich insbesondere daran, dass sein Bruder, auf sein Ersuchen hin, seit zwei Jahren seine Finanzen verwalte, sodass keine Rechnungen mehr untergehen, sondern bezahlt würden. Schliesslich beanstandet der Beschwerdeführer eine rechtsfehlerhafte Auslegung des Ermessens durch die Vorinstanz. Diese habe verschiedene Tatsachen, welche zugunsten des Beschwerdeführers auszulegen wären, nicht adäquat berücksichtigt und insbesondere die Erforderlichkeit der Rückstufung ohne eingehende Prüfung in einem Satz abgetan. Im Ergeb- nis sei die Rückstufung nicht erforderlich, um beim Beschwerdeführer eine Verhaltensänderung herbeizuführen, da ihm bereits das vorinstanzliche Verfahren sehr Eindruck gemacht habe. Zudem sei das private Interesse des Beschwerdeführers an der Beibehaltung der Niederlassungsbewilli- gung gleich hoch, wenn nicht sogar höher als das öffentliche Interesse an der Rückstufung einzuschätzen.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Nach der bundesgerichtlichen Rechtsprechung genügt für eine Rückstu- fung eine Schuldenwirtschaft für sich allein nicht. Vorausgesetzt ist eine</w:t>
      </w:r>
    </w:p>
    <w:p>
      <w:r>
        <w:t>- 14 - Mutwilligkeit der Verschuldung, d.h. diese muss selbst verschuldet und da- mit qualifiziert vorwerfbar sein, wovon nicht leichthin ausgegangen werden soll. Ein mutwilliges Verhalten im Sinne von Art. 77a Abs. 1 lit. b VZAE liegt vor, wenn die ausländische Person aus Absicht, Böswilligkeit oder Lieder- lichkeit bzw. Leichtfertigkeit ihren öffentlich-rechtlichen oder privatrecht- lichen Verpflichtungen nicht nachkommt (Urteil des Bundesgerichts 2C_490/2023 vom 31. Mai 2024, Erw. 5.2 mit Hinweisen). Während die Mutwilligkeit die subjektive Vorwerfbarkeit der Verschuldung betrifft, gibt die Höhe der Schulden einen objektiven Hinweis auf das Aus- mass der Gefährdung der öffentlichen Sicherheit und Ordnung. Nach der bundesgerichtlichen Rechtsprechung zum Widerrufsgrund von Art. 63 Abs. 1 lit. b AIG liegt ein schwerwiegender Verstoss gegen die öffentliche Ordnung vor, wenn die Verschuldung mutwillig erfolgt ist und die Schulden einen gewissen Umfang erreicht haben, wobei sich bezüglich Höhe der Schulden keine klare Grenze ziehen lässt (zum Erfordernis der Mutwilligkeit Urteil des Bundesgerichts 2C_573/2019 vom 14. April 2020, Erw. 2 f.; MARCO WEISS, Widerruf der Niederlassungs- oder Aufenthaltsbewilligung aufgrund von Schuldenwirtschaft, in: Aktuelle Juristische Praxis [AJP] 2020, S. 356 ff., 358 f. mit Hinweisen; Entscheid des Verwaltungsgerichts WBE.2021.298 vom 28. März 2022, Erw. II/5.2.3.1; zum Erfordernis eines gewissen Schuldenumfangs Urteile des Bundesgerichts 2C_534/2022 vom 21. April 2023, Erw. 3.2.1 mit weiteren Hinweisen; 2C_318/2021 vom 27. Oktober 2021, Erw. 3.2.4). Eine schwerwiegende Gefährdung der öffentlichen Ordnung nahm das Bundesgericht namentlich bei folgenden Schuldenhöhen an: Fr. 213'790.48 (Verlustscheine; vgl. Urteil 2C_928/2019 vom 26. Februar 2020), Fr. 169'995.45 (Verlustscheine; vgl. Urteil 2C_797/2019 vom 20. Februar 2020), Fr. 188'000.00 (Verlust- scheine; vgl. Urteil 2C_517/2017 vom 4. Juli 2018), Fr. 303'732.95 (Ver- lustscheine; vgl. Urteil 2C_164/2017 vom 12. September 2017), Fr. 172'543.00 (Verlustscheine, zusätzliche offene Betreibungen im Um- fang von Fr. 4'239.00, vgl. Urteil 2C_997/2013 vom 21. Juli 2014). Bei mut- williger Anhäufung von Schulden, welche sich in der Höhe der zuvor er- wähnten Beträge bewegen, ist damit ohne Weiteres von einer blossen Nichtbeachtung der öffentlichen Ordnung im Sinne von Art. 58a Abs. 1 lit. a AIG auszugehen (vgl. Botschaft AIG, BBl 2013 2397 ff., 2427; vgl. zum Ganzen Entscheid des Verwaltungsgerichts WBE.2020.8 vom 7. Juli 2020, Erw. II/4.1.2). Wurde bereits eine ausländerrechtliche Verwarnung ausgesprochen (Art. 96 Abs. 2 AIG), ist entscheidend, ob die ausländische Person danach weiterhin mutwillig Schulden angehäuft hat. Massgebend ist, welche An- strengungen zur Sanierung der finanziellen Situation unternommen worden sind, ob namentlich konstante und effiziente Bemühungen um Schulden- rückzahlung vorliegen. Positiv zu würdigen ist ein Schuldenabbau, negativ</w:t>
      </w:r>
    </w:p>
    <w:p>
      <w:r>
        <w:t>- 15 - die weitere Anhäufung von Schulden in vorwerfbarer Weise (Urteil des Bun- desgerichts 2C_490/2023 vom 31. Mai 2024, Erw. 5.3 mit Hinweisen).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 4.4.3. 4.4.3.1. Der Beschwerdeführer ist hoch verschuldet. Aus den Akten geht hervor, dass beim Betreibungsamt Q._____ per 14. Februar 2024 insgesamt 90 nicht getilgte Verlustscheine im Umfang von zusammengezählt Fr. 143'477.60 registriert waren, bei 13 offenen Betreibungen im Gesamt- betrag von Fr. 50'541.60 (MI-act.773 ff.). Vorab ist festzuhalten, dass es Aufgabe des MIKA ist, darzulegen, dass der Beschwerdeführer nach dem 1. Januar 2019 mutwillig Schuldenwirtschaft betrieben hat und dadurch ein Integrationsdefizit durch Nichtbeachten der öffentlichen Ordnung im Sinne von Art. 58a Abs. 1 lit. a AIG i.V.m. Art. 77a Abs. 1 lit. b VZAE besteht. Mit anderen Worten ist es Aufgabe des MIKA, das Vorliegen eines Rückstufungsgrundes nachzuweisen und kann bei Rückstufungen, welche erst seit dem 1. Januar 2019 zulässig sind, anders als bei der Prüfung von Widerrufsgründen (vgl. Entscheid des Verwaltungs- gerichts WBE.2022.479 vom 17. März 2023, Erw. II/2.2.1), nicht unbe- sehen auf die Gesamtsumme der Betreibungen und Verlustscheine ge- mäss Betreibungsregisterauszug abgestellt werden. Vielmehr sind nur die- jenigen Forderungen relevant, die auf einen Sachverhalt zurückgehen, wel- cher nach dem 1. Januar 2019 verwirklicht wurde. Nur wenn bei solchen Schulden auf eine mutwillige Schuldenwirtschaft geschlossen werden kann, liegt ein Rückstufungsgrund vor. Erst wenn dieser nachgewiesen wurde, ist im Rahmen der vorzunehmenden Interessenabwägung bei der Bemessung des öffentlichen Interesses auf früher erfolgte mutwillige Schul- denwirtschaft abzustellen, da diese bereits unter altem Recht (d.h. unter dem bis Ende 2018 geltenden AuG) sanktioniert werden konnte und sich ein Betroffener hinsichtlich der Bemessung des öffentlichen Interesses selbst dann nicht auf ein Kontinuitätsvertrauen berufen kann, wenn er mehr als 15 Jahre im Besitz der Niederlassungsbewilligung war, zumal bereits unter altem Recht der Widerruf der Niederlassungsbewilligung bei über 15- jährigem Aufenthalt in der Schweiz mit Niederlassungsbewilligung auf-</w:t>
      </w:r>
    </w:p>
    <w:p>
      <w:r>
        <w:t>- 16 - grund mutwilliger Schuldenwirtschaft drohte (vgl. Entscheid des Verwal- tungsgerichts WBE.2020.200 vom 8. Dezember 2020, Erw. II/3.4.4.2.1). Im vorliegenden Fall hat die Vorinstanz diverse Abklärungen betreffend der Entstehungszeitpunkte der aktenkundigen Schulden getätigt. Die Abklä- rungen hätten die Entstehung neuer Schulden nach Inkrafttreten von Art. 63 Abs. 2 AIG, d.h. nach dem 1. Januar 2019, bestätigt. Die Vorinstanz stützt sich dabei insbesondere auf den Anstieg der Verlustscheine im Ver- lauf der letzten Jahre. Waren am 7. Oktober 2019 gemäss Betreibungs- registerauszug des Betreibungsamts Q._____ noch 60 Verlustscheine im Umfang von Fr. 69'764.85 registriert (MI-act. 435), erhöhte sich dieser Betrag per 14. Februar 2024 auf 90 Verlustscheine im Umfang von insgesamt Fr. 143'477.60 (MI-act. 778). Die Erhöhung der Anzahl Verlust- scheine vermag zwar für sich allein betrachtet keine nach dem 1. Januar 2019 fortgeführte Schuldenwirtschaft belegen, sie zeigt jedoch deutlich, dass der Beschwerdeführer seinen finanziellen Verpflichtungen auch nach dem 1. Januar 2019 nicht nachgekommen ist. So mussten zahlreiche For- derungen, selbst wenn ihnen Sachverhalte zugrunde liegen würden, wel- che sich tatsächlich vor dem 1. Januar 2019 verwirklicht hätten, zumindest nach dem 1. Januar 2019 erneut in Betreibung gesetzt werden. Der Betrag, der insgesamt nicht getilgten Verlustscheine, hat sich zwischen dem 7. Ok- tober 2019 und dem 14. Februar 2024 mehr als verdoppelt. Wiederholt gab der Beschwerdeführer im Laufe der beiden vorinstanzlichen Verfahren an, darum bemüht zu sein, die offenen Forderungen zu begleichen, um künf- tige Betreibungen zu verhindern (vgl. MI-act. 534, 566, 668). In seiner Be- schwerdeschrift weist der Beschwerdeführer abermals darauf hin, dass er seinen Bruder um Unterstützung in der Verwaltung seiner Finanzen ersucht habe, sodass sämtliche Rechnungen bezahlt werden würden. Dies machte der Beschwerdeführer bereits in seiner Einsprache an die Vorinstanz vom 25. Oktober 2021 geltend (MI-act. 567). Den Akten sind indessen keinerlei Hinweise zu entnehmen, welche diese Bemühungen in den letzten Jahren belegen würden. Im Gegenteil stellten sich im Rahmen der vorinstanzlichen Sachverhaltsabklärungen, behauptete Bemühungen des Beschwerdefüh- rers zur Schuldensanierung als falsch heraus. So reichte der Beschwerde- führer zu Handen der Vorinstanz einen Schuldentilgungsplan mit dem Be- treibungsamt R._____ vom 8. Januar 2024 ein (MI-act. 765). Gemäss Auskunft des Betreibungsamts R._____ vom 14. Februar 2024 hatte das Betreibungsamt jedoch nie Kenntnis von einer solchen Vereinbarung (MI- act. 771). Auch eine Abzahlungsvereinbarung mit der Gemeinde Q._____, welche der Beschwerdeführer mit Eingabe vom 10. Juni 2022 gegenüber der Vorinstanz behauptete (MI-act. 669), lag in Wahrheit nicht vor (MI- act. 680). Neben der massiven Erhöhung der nicht getilgten Verlustscheine befanden sich auch die jeweils offenen Betreibungen im Verlauf der letzten Jahre auf einem konstant hohen Niveau. Waren dem Betreibungsregisterauszug vom</w:t>
      </w:r>
    </w:p>
    <w:p>
      <w:r>
        <w:t>- 17 - 7. Oktober 2019 noch offene Betreibungen im Umfang von Fr. 62'577.90 zu entnehmen (MI-act. 431 ff.), belief sich dieser Betrag zwischenzeitlich gemäss Betreibungsregisterauszug vom 15. Juli 2022 auf Fr. 80'541.60 (MI-act. 688 ff.) und zuletzt am 14. Februar 2024 immer noch auf Fr. 50'541.60 (MI-act.773 ff.). Die Abklärungen der Vorinstanz haben des Weiteren ergeben, dass diverse Betreibungen auf nach dem 1. Januar 2019 generierte Schulden zurückgehen, darunter insbesondere Kranken- kassen- und Steuerschulden (MI-act. 651, 694). Ferner anerkennt auch der Beschwerdeführer selbst, dass weiterhin Schulden angehäuft wurden (act. 21). Damit steht fest, dass der Beschwerdeführer seinen finanziellen Verpflichtungen auch nach dem 1. Januar 2019 weiterhin nicht nachge- kommen ist und sich nicht in massgebender Weise um eine Schulden- sanierung bemüht hat. 4.4.3.2. Der Beschwerdeführer bestreitet die Mutwilligkeit der Schuldenanhäufung. Angesichts des Umstands, dass der Beschwerdeführer über die letzten Jahre nachweislich regelmässig in hohem Umfang betrieben wurde, wäre er jedoch aufgrund seiner ausländerrechtlichen Mitwirkungspflicht gehalten gewesen, substanziiert darzulegen, welche Anstrengungen er zur Sanie- rung der finanziellen Situation unternommen hat. Der Beschwerdeführer bringt diesbezüglich lediglich vor, dass er seinen Bruder um Hilfe ersucht habe, welcher nun seit 2021 seine Finanzen verwalte. Der Vorinstanz ist darin zuzustimmen, dass nicht nachvollziehbar ist, weshalb sich der Be- schwerdeführer erst 2021 Unterstützung bezüglich seiner Finanzen geholt hatte. Zudem musste er auch seit 2021 regelmässig erneut betrieben wer- den (MI-act. 776 ff.). Wie vorstehend ausgeführt wurde, sind den Akten ansonsten keine konkreten Hinweise zu entnehmen, welche allfällige wei- tere Bemühungen zur Schuldensanierung belegen würden. Vielmehr haben sich behauptete Bemühungen des Beschwerdeführers zur Schul- densanierung im Rahmen der vorinstanzlichen Sachverhaltsabklärungen als falsch herausgestellt (siehe vorne Erw. II/4.4.3.1). Ferner macht der Beschwerdeführer keine genauen Angaben dazu, inwie- fern ihm die weitere Anhäufung von Schulden nicht vorwerfbar wäre. Er bringt zu wenig substanziiert vor, inwiefern die weiter hinzugekommenen Schulden auf seine familiären Verpflichtungen zurückzuführen sind und ihm diese weitere Verschuldung deshalb nicht vorgeworfen werden kann. Die pauschale Behauptung des Beschwerdeführers, die weitere Verschuldung liesse sich mit den familiären Verpflichtungen "ohne Weiteres erklären und begründen", ist nicht nachvollziehbar. Der Beschwerdeführer kommt eigenen Angaben zufolge seinen Unterhaltsverpflichtung mittels erhaltener IV-Kinderrente nach (MI-act. 667). Den Akten sind keine Hinweise zu ent- nehmen, wonach der Beschwerdeführer zusätzliche Unterhaltsbeiträge leisten würde und der Beschwerdeführer macht dies auch nicht geltend. Bei der Kinderrente handelt es sich um einen zusätzlichen Rentenanspruch für</w:t>
      </w:r>
    </w:p>
    <w:p>
      <w:r>
        <w:t>- 18 - Personen, denen eine Invalidenrente zusteht (Art. 35 Abs. 1 des Bundes- gesetzes über die Invalidenversicherung vom 19. Juni 1959 [IVG; SR 831.20]). Sie dient ausschliesslich dem Kindesunterhalt und soll dem invaliden Elternteil ermöglichen, seinen Unterhaltspflichten nachzukom- men (BGE 145 V 154, Erw. 4.1, 134 V 15, Erw. 2.3.3). Dementsprechend wird der Beschwerdeführer zur Deckung seiner familiären Verpflichtungen mit einer Rente unterstützt, die ihm zusätzlich zum eigentlichen Rentenan- spruch entrichtet wird. Die geleisteten Unterhaltszahlungen haben damit keinen Einfluss auf das ihm sonst zustehende Einkommen. Der Vorinstanz ist weiter darin zuzustimmen, dass nicht ersichtlich ist, in- wiefern die frühere Abhängigkeit von der materiellen Hilfe die damalige Schuldenbildung entschuldigen sollte. Der Beschwerdeführer wurde zwischen 2010 und 2016 mit Unterbrüchen durch materielle Hilfe unter- stützt (MI-act. 159 ff., 183 f., 185 ff., 263 ff., 275 ff., 313 ff., 361 ff., 379 ff., 392 f.). Die materielle Grundsicherung ermöglicht eine bescheidene und menschenwürdige Lebensführung mit sozialer Teilhabe und umfasst alle in einem Privathaushalt notwendigen Ausgabenpositionen. Ausgenommen davon sind insbesondere Steuern und Unterhaltsbeiträge (SKOS-Richt- linien Kap. C.1.). Die während dieser Zeit entstandenen Schulden aufgrund nicht bezahlter Steuern und Unterhaltsbeiträgen sind ihm dementspre- chend nicht qualifiziert vorwerfbar. Indessen deckt die erhaltene materielle Hilfe sämtliche weiteren notwendigen Ausgaben ab, weshalb sich die rest- liche massive Verschuldung in diesem Zeitraum nicht durch die Abhängig- keit von der materiellen Hilfe entschuldigen lässt. Überdies kam der Be- schwerdeführer auch seit Erhalt der IV-Rente seinen Steuerschulden weit- gehend nicht nach (MI-act. 420). Wäre es dem Beschwerdeführer tatsäch- lich aufgrund einer finanziellen Notlage unmöglich gewesen, seine Steuer- schulden zu bezahlen, wäre er gehalten gewesen, einen teilweisen oder gänzlichen Steuererlass zu beantragen (§ 230 ff. des Steuergesetzes vom 15. Dezember 1998 [StG; SAR 651.100]). In den Akten finden sich jedoch keine Hinweise auf diesbezügliche Bemühungen. Letztlich ist die von der D._____ diagnostizierte psychische Beeinträchtigung des Beschwerdeführers zu berücksichtigen, welche gemäss Vorbringen des Beschwerdeführers ebenfalls ursächlich für die Verschuldung und die Betreibungen sein soll. Gemäss psychiatrischem Kurzgutachten der D._____ vom 29. April 2019 leidet der Beschwerdeführer unter einer kombinierten Persönlichkeitsstörung mit narzisstischen, dissozialen, paranoiden und emotional instabilen Zügen (ICD-10 F61.0), Zwangsgedanken und Zwangshandlungen gemischt (ICD-</w:t>
      </w:r>
    </w:p>
    <w:p>
      <w:r>
        <w:rPr>
          <w:b/>
        </w:rPr>
        <w:t>E. 10</w:t>
      </w:r>
    </w:p>
    <w:p>
      <w:r>
        <w:t>F42.2) sowie an atypischer Bulimia nervosa (ICD-10 F50.3) (MI- act. 589). Das Kurzgutachten der D._____ wurde zur Überprüfung der Hafterstehungsfähigkeit des Beschwerdeführers erstellt (vgl. MI- act. 582 ff.). Es ist damit nicht konkret aussagekräftig hinsichtlich der Handlungsfähigkeit des Beschwerdeführers in Bezug auf seine finanziellen</w:t>
      </w:r>
    </w:p>
    <w:p>
      <w:r>
        <w:t>- 19 - Angelegenheiten. Soweit der Beschwerdeführer geltend macht, aufgrund seiner psychischen Beeinträchtigung sei er nicht im Stande gewesen, seine Finanzen zu verwalten, hätte er dies im Rahmen seiner Mitwirkungspflicht substanziiert belegen müssen. Selbst wenn die beim Beschwerdeführer vorliegende psychische Beeinträchtigung zu Problemen bei der Verwaltung von Finanzen führen kann, vermag sie die langjährige Verschuldung nicht zu rechtfertigen. So bestehen keine Anzeichen dafür, dass die psychische Beeinträchtigung zu einer konkreten Handlungsunfähigkeit in Bezug auf die finanziellen Angelegenheiten geführt hätte. Die psychische Beeinträchtigung wurde beim Beschwerdeführer bereits im April 2019 diagnostiziert und bezieht sich unter anderem auf medizinische Berichte ab dem Jahr 2016 (MI-act. 587). Hätte der Beschwerdeführer seither aufgrund der diagnostizierten psychischen Beeinträchtigung ernsthafte Schwierigkeiten bei der Verwaltung seiner Finanzen gehabt, wäre es ihm zuzumuten gewesen, sich diesbezüglich umgehend Hilfe zu holen. Die Tat- sache, dass eigenen Angaben zufolge aktuell sein Bruder seine Finanzen verwaltet und er ein sehr enges Verhältnis zu seiner Schwester hat (act. 23), zeigt auf, dass er über ein Umfeld verfügt, welches ihn dabei hätte unterstützen können. Damit ändert auch die psychische Beeinträchtigung des Beschwerdeführers nichts daran, dass der Beschwerdeführer seine Verschuldung selbst zu verantworten hat. 4.4.3.3. Nach dem Gesagten ist klar ersichtlich, dass den Beschwerdeführer ein erhebliches Verschulden an seiner Situation trifft. Weder seine Unterhalts- pflichten noch die zwischenzeitliche Abhängigkeit von der materiellen Hilfe oder die psychische Beeinträchtigung rechtfertigen die aktuelle Verschul- dung des Beschwerdeführers. Ausbleibende Unterstützung seiner finan- ziellen Situation hat sich der Beschwerdeführer selbst zuzuschreiben. So hat er sich eigenen Angaben zufolge erst 2021 Hilfe in der Verwaltung seiner Finanzen geholt, obwohl er ausweislich der Akten mindestens be- reits seit 2008 regelmässig betrieben wurde (MI-act. 779 ff.). Den Akten ist ferner zu entnehmen, dass die Ergänzungsleistungen für den Beschwerde- führer per 31. August 2019 aufgrund unbekannten Aufenthaltsorts und da- mit fehlender Mitwirkung zumindest vorübergehend eingestellt wurden (MI- act. 641). Es sind zudem keine ernsthaften und nachhaltigen Anstrengun- gen zur Sanierung der finanziellen Situation ersichtlich. Damit weist der Beschwerdeführer im Zusammenhang mit seiner vorwerf- baren mutwilligen Schuldenwirtschaft im grossen Umfang ein hinreichend gewichtiges, aktuelles Integrationsdefizit auf, womit der Rückstufungs- grund der Nichtbeachtung der öffentlichen Sicherheit und Ordnung im Sinne von Art. 63 Abs. 2 i.V.m. Art. 58a Abs. 1 lit. a AIG und Art. 77a Abs. 1 lit. b VZAE erfüllt ist.</w:t>
      </w:r>
    </w:p>
    <w:p>
      <w:r>
        <w:t>- 20 - 4.5. Nachdem beim Beschwerdeführer aufgrund seiner mutwilligen Schulden- wirtschaft ein Rückstufungsgrund gemäss Art. 63 Abs. 2 AIG vorliegt, er- weist sich der Widerruf seiner Niederlassungsbewilligung unter ersatzwei- ser Erteilung einer Aufenthaltsbewilligung (Rückstufung) als begründet.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rückstufungsbegründende desintegrative Verhalten einzustellen – mithin mit dem zuständigen Betreibungsamt in Kontakt zu treten und ernsthafte und nachhaltige Anstrengungen zur Sanierung seiner finanziellen Situation in die Wege zu leiten. 5.3. Der Beschwerdeführer macht geltend, bereits das vorinstanzliche Verfah- ren hätte ihm grossen Eindruck gemacht. Das Verfahren an sich, allenfalls in Kombination mit einer Verwarnung, sei damit bereits geeignet, um bei ihm eine Verhaltensänderung herbeizuführen. Die Rückstufung sei folglich nicht erforderlich, um die notwendige Verhaltensänderung herbeizuführen. Inwiefern sich das desintegrative Verhalten des Beschwerdeführers auf- grund der vorinstanzlichen Verfahren konkret reduziert hat, zeigt der Be- schwerdeführer nicht auf. Das MIKA, Sektion Aufenthalt, verfügte am</w:t>
      </w:r>
    </w:p>
    <w:p>
      <w:r>
        <w:t>- 21 - 24. September 2021 den Widerruf der Niederlassungsbewilligung des Be- schwerdeführers unter ersatzweiser Erteilung einer Aufenthaltsbewilligung (Rückstufung). Gemäss Betreibungsregisterauszug des Betreibungsamts Q._____ wurde der Beschwerdeführer seit dem Erlass der Verfügung bis zum 14. Februar 2024 weitere 21 Mal im Umfang von insgesamt Fr. 97'420.65 betrieben (MI-act. 776 ff.). Wie bereits dargelegt, sind den Akten keine konkreten Hinweise zu entnehmen, welche jüngste Be- mühungen des Beschwerdeführers zur Schuldensanierung und damit zur Reduzierung seines desintegrativen Verhaltens aufzeigen würden (siehe vorne Erw. II/4.4.3.1). Ferner wurde der Beschwerdeführer bereits am</w:t>
      </w:r>
    </w:p>
    <w:p>
      <w:r>
        <w:rPr>
          <w:b/>
        </w:rPr>
        <w:t>E. 12</w:t>
      </w:r>
    </w:p>
    <w:p>
      <w:r>
        <w:t>Februar 2014 durch das MIKA, Sektion Aufenthalt, unter Androhung des Widerrufs seiner Niederlassungsbewilligung und der Wegweisung aus der Schweiz ausländerrechtlich verwarnt (MI-act. 282 ff.). In der Folge beging der Beschwerdeführer weiter Straftaten und wurde mit Urteil des Bezirksgerichts Lenzburg vom 21. März 2019 sowie sechs weiteren Straf- befehlen zu einer Geldstrafe von 120 Tagessätzen zu je Fr. 30.00 und Bussen von total Fr. 1'040.00 verurteilt (MI-act. 403 f., 436 ff., 440 ff., 444 ff., 458 ff., 507 ff., 524 ff.). Zudem ist die Verschuldung des Beschwer- deführers seit 2014 konstant angestiegen. So mussten seit der Verwarnung insgesamt 59 Verlustscheine im Umfang von Fr. 108'890.85 gegen den Be- schwerdeführer ausgestellt werden (MI-act. 779 ff.). Vor diesem Hintergrund erweist sich das aktuelle Verfahren nicht als ge- eignet, um beim Beschwerdeführer die notwendige Verhaltensänderung herbeizuführen. Auch ein anderes gleichermassen zielführendes milderes Mittel ist nicht ersichtlich. Hinsichtlich einer Verwarnung ist festzuhalten, dass diese erst dann in Betracht zu ziehen ist, wenn die Rückstufung zwar begründet ist, sich aber als unverhältnismässig im engeren Sinne erweist, d.h. kein überwiegendes öffentliches Interesse an der Rückstufung besteht. Die Rückstufung erweist sich damit als erforderlich. 5.4. 5.4.1.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5.4.2. 5.4.2.1.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w:t>
      </w:r>
    </w:p>
    <w:p>
      <w:r>
        <w:t>- 22 -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 5.4.2.2.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nicht tangiert. Das private Interesse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ziellen Verschlechterung ihrer Rechtsposition führt. An erster Stelle ist dies- bezüglich die mit dem migrationsrechtlichen Status verbundene Sicherheit der Anwesenheitsberechtigung in der Schweiz zu nennen. Im Gegensatz</w:t>
      </w:r>
    </w:p>
    <w:p>
      <w:r>
        <w:t>- 23 -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5.4.3. 5.4.3.1. Aus den Akten ist ersichtlich, dass der Beschwerdeführer seit mindestens 2008 stetig Schulden angehäuft hat (MI-act. 670 ff.). Wie hiervor dargetan (siehe vorne Erw. II/4.4.3), hat der Beschwerdeführer dieses desintegrative Verhalten auch unter dem neuen Recht fortgesetzt und seine Verschuldung ist mutwillig erfolgt. Gemäss dem Betreibungsregisterauszug des Betrei- bungsamts Q._____ vom 14. Februar 2024 waren zu diesem Zeitpunkt 90 nicht getilgte Verlustscheine im Umfang von insgesamt Fr. 143'477.60 registriert, bei 13 offenen Betreibungen im Gesamtbetrag von Fr. 50'541.60 (MI-act.773 ff.). Eine ausbleibende Unterstützung seiner finanziellen</w:t>
      </w:r>
    </w:p>
    <w:p>
      <w:r>
        <w:t>- 24 - Situation hat der Beschwerdeführer selbst zu verantworten. So hat er sich während mehr als zehn Jahren, in denen seine Verschuldung konstant anstieg, keine Hilfe in der Verwaltung seiner Finanzen geholt, nie einen Steuererlass beantragt und durch fehlende Mitwirkung die zumindest vorübergehende Einstellung der Ergänzungsleistungen bewirkt. Zu keiner Zeit waren ernsthafte und nachhaltige Bemühungen ersichtlich, seine finan- ziellen Angelegenheiten in den Griff zu bekommen (siehe vorne Erw. II/4.4.3.2). Damit trifft den Beschwerdeführer ein erhebliches Ver- schulden an seiner Situation. Das Verhalten des Beschwerdeführers zeugt von einer Gleichgültigkeit gegenüber seinen öffentlich-rechtlichen und pri- vatrechtlichen Verpflichtungen. Nach dem Gesagten ist ihm im Sinne von Art. 77a Abs. 1 lit. b VZAE ein gewichtiges Integrationsdefizit zu attestieren. Entsprechend besteht im heutigen Zeitpunkt ein grosses öffentliches Inte- resse, seine Niederlassungsbewilligung zu widerrufen und durch eine Auf- enthaltsbewilligung zu ersetzen. 5.4.3.2. Der Beschwerdeführer wurde in der Schweiz geboren und ist seit dem 25. Juni 1991 im Besitz einer Niederlassungsbewilligung (siehe vorne lit. A). Wie die Vorinstanz richtig festhält, würde den Beschwerdeführer vor diesem Hintergrund der Verlust der Niederlassungsbewilligung empfindlich treffen. Auch wenn die Rückstufung der Bewilligung für den Beschwerde- führer mit einer substanziellen Verschlechterung seiner Rechtsposition ein- hergeht, ist sein weiterer Aufenthalt in der Schweiz derzeit dennoch nicht gefährdet, sondern primär davon abhängig, dass er in Zukunft entspre- chend seiner wirtschaftlichen Leistungsfähigkeit um eine Schuldensanie- rung bemüht ist und sich vollumfänglich an die Rechtsordnung hält. Zudem steht beim Beschwerdeführer, dessen Tochter und frühere Ehefrau in der Schweiz leben (siehe vorne lit. A), derzeit auch kein Familiennachzug an, welcher bei einer Rückstufung allenfalls nicht mehr bewilligt werden könnte. Mit der Vorinstanz ist deshalb von einem mittleren bis grossen privaten In- teresse des Beschwerdeführers auszugehen, nicht zurückgestuft zu werden. 5.3.4. Nach dem Gesagten besteht ein überwiegendes öffentliches Interesse an der Rückstufung des Beschwerdeführers, weshalb sich die Massnahme insgesamt auch als verhältnismässig im engeren Sinne erweist, womit eine Verwarnung nicht zur Diskussion steht. 6. Zusammenfassend erweist sich die Rückstufung im Sinne von Art. 63 Abs. 2 AIG als begründet und verhältnismässig und damit als zulässig. Der Entscheid der Vorinstanz ist nicht zu beanstanden und die Beschwerde ist abzuweisen.</w:t>
      </w:r>
    </w:p>
    <w:p>
      <w:r>
        <w:t>- 25 - III. 1. Im Beschwerdeverfahren werden die Verfahrenskosen nach Massgabe des Unterliegens und Obsiegens auf die Parteien verlegt (§ 31 Abs. 2 VRPG). Nachdem der Beschwerdeführer unterliegt, gehen die Kosten des verwaltungsgerichtlichen Verfahrens zu seinen Lasten. Ein Parteikostener- satz fällt ausser Betracht (§ 32 Abs. 2 VPRG).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